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2AA06" w14:textId="77777777" w:rsidR="00734F57" w:rsidRPr="00B51B7C" w:rsidRDefault="00734F57" w:rsidP="00734F57">
      <w:pPr>
        <w:spacing w:line="360" w:lineRule="auto"/>
        <w:ind w:firstLineChars="200" w:firstLine="643"/>
        <w:jc w:val="center"/>
        <w:rPr>
          <w:rFonts w:asciiTheme="minorEastAsia" w:hAnsiTheme="minorEastAsia"/>
          <w:b/>
          <w:sz w:val="32"/>
          <w:szCs w:val="32"/>
        </w:rPr>
      </w:pPr>
      <w:r w:rsidRPr="00B51B7C">
        <w:rPr>
          <w:rFonts w:asciiTheme="minorEastAsia" w:hAnsiTheme="minorEastAsia" w:hint="eastAsia"/>
          <w:b/>
          <w:sz w:val="32"/>
          <w:szCs w:val="32"/>
        </w:rPr>
        <w:t>苏亚金诚会计师事务所（特殊普通合伙）</w:t>
      </w:r>
    </w:p>
    <w:p w14:paraId="7F61847D" w14:textId="510C99B5" w:rsidR="00B10BB9" w:rsidRPr="00B51B7C" w:rsidRDefault="00734F57" w:rsidP="00B10BB9">
      <w:pPr>
        <w:spacing w:line="360" w:lineRule="auto"/>
        <w:ind w:firstLineChars="200" w:firstLine="643"/>
        <w:jc w:val="center"/>
        <w:rPr>
          <w:rFonts w:asciiTheme="minorEastAsia" w:hAnsiTheme="minorEastAsia"/>
          <w:b/>
          <w:sz w:val="32"/>
          <w:szCs w:val="32"/>
        </w:rPr>
      </w:pPr>
      <w:r w:rsidRPr="00B51B7C">
        <w:rPr>
          <w:rFonts w:asciiTheme="minorEastAsia" w:hAnsiTheme="minorEastAsia" w:hint="eastAsia"/>
          <w:b/>
          <w:sz w:val="32"/>
          <w:szCs w:val="32"/>
        </w:rPr>
        <w:t>关于对</w:t>
      </w:r>
      <w:r w:rsidR="00170EFB" w:rsidRPr="00B51B7C">
        <w:rPr>
          <w:rFonts w:asciiTheme="minorEastAsia" w:hAnsiTheme="minorEastAsia" w:hint="eastAsia"/>
          <w:b/>
          <w:sz w:val="32"/>
          <w:szCs w:val="32"/>
        </w:rPr>
        <w:t>江苏中利集团股份有限公司的问询函</w:t>
      </w:r>
      <w:r w:rsidR="00B10BB9" w:rsidRPr="00B51B7C">
        <w:rPr>
          <w:rFonts w:asciiTheme="minorEastAsia" w:hAnsiTheme="minorEastAsia" w:hint="eastAsia"/>
          <w:b/>
          <w:sz w:val="32"/>
          <w:szCs w:val="32"/>
        </w:rPr>
        <w:t>的回复</w:t>
      </w:r>
    </w:p>
    <w:p w14:paraId="5B24A738" w14:textId="309165E1" w:rsidR="00734F57" w:rsidRPr="00B51B7C" w:rsidRDefault="00734F57" w:rsidP="00B10BB9">
      <w:pPr>
        <w:spacing w:line="360" w:lineRule="auto"/>
        <w:rPr>
          <w:rFonts w:asciiTheme="minorEastAsia" w:hAnsiTheme="minorEastAsia"/>
          <w:b/>
          <w:sz w:val="28"/>
          <w:szCs w:val="28"/>
        </w:rPr>
      </w:pPr>
      <w:r w:rsidRPr="00B51B7C">
        <w:rPr>
          <w:rFonts w:asciiTheme="minorEastAsia" w:hAnsiTheme="minorEastAsia" w:hint="eastAsia"/>
          <w:b/>
          <w:sz w:val="28"/>
          <w:szCs w:val="28"/>
        </w:rPr>
        <w:t>深圳证券交易所</w:t>
      </w:r>
      <w:r w:rsidR="00170EFB" w:rsidRPr="00B51B7C">
        <w:rPr>
          <w:rFonts w:asciiTheme="minorEastAsia" w:hAnsiTheme="minorEastAsia" w:hint="eastAsia"/>
          <w:b/>
          <w:sz w:val="28"/>
          <w:szCs w:val="28"/>
        </w:rPr>
        <w:t>上市公司管理二部</w:t>
      </w:r>
      <w:r w:rsidRPr="00B51B7C">
        <w:rPr>
          <w:rFonts w:asciiTheme="minorEastAsia" w:hAnsiTheme="minorEastAsia" w:hint="eastAsia"/>
          <w:b/>
          <w:sz w:val="28"/>
          <w:szCs w:val="28"/>
        </w:rPr>
        <w:t>：</w:t>
      </w:r>
    </w:p>
    <w:p w14:paraId="282FFA45" w14:textId="5152BE34" w:rsidR="00734F57" w:rsidRPr="00B51B7C" w:rsidRDefault="00734F57" w:rsidP="00A47A2F">
      <w:pPr>
        <w:ind w:firstLineChars="200" w:firstLine="560"/>
        <w:rPr>
          <w:rFonts w:asciiTheme="minorEastAsia" w:hAnsiTheme="minorEastAsia"/>
          <w:sz w:val="28"/>
          <w:szCs w:val="28"/>
        </w:rPr>
      </w:pPr>
      <w:r w:rsidRPr="00B51B7C">
        <w:rPr>
          <w:rFonts w:asciiTheme="minorEastAsia" w:hAnsiTheme="minorEastAsia" w:hint="eastAsia"/>
          <w:sz w:val="28"/>
          <w:szCs w:val="28"/>
        </w:rPr>
        <w:t>根据深圳证券交易所</w:t>
      </w:r>
      <w:r w:rsidR="00170EFB" w:rsidRPr="00B51B7C">
        <w:rPr>
          <w:rFonts w:asciiTheme="minorEastAsia" w:hAnsiTheme="minorEastAsia" w:hint="eastAsia"/>
          <w:sz w:val="28"/>
          <w:szCs w:val="28"/>
        </w:rPr>
        <w:t>上市公司管理二部出具的</w:t>
      </w:r>
      <w:r w:rsidRPr="00B51B7C">
        <w:rPr>
          <w:rFonts w:asciiTheme="minorEastAsia" w:hAnsiTheme="minorEastAsia" w:hint="eastAsia"/>
          <w:sz w:val="28"/>
          <w:szCs w:val="28"/>
        </w:rPr>
        <w:t>《</w:t>
      </w:r>
      <w:r w:rsidR="00A47A2F" w:rsidRPr="00B51B7C">
        <w:rPr>
          <w:rFonts w:asciiTheme="minorEastAsia" w:hAnsiTheme="minorEastAsia" w:hint="eastAsia"/>
          <w:sz w:val="28"/>
          <w:szCs w:val="28"/>
        </w:rPr>
        <w:t>关于对江苏中利集团股份有限公司2024年年报的问询函</w:t>
      </w:r>
      <w:r w:rsidRPr="00B51B7C">
        <w:rPr>
          <w:rFonts w:asciiTheme="minorEastAsia" w:hAnsiTheme="minorEastAsia" w:hint="eastAsia"/>
          <w:sz w:val="28"/>
          <w:szCs w:val="28"/>
        </w:rPr>
        <w:t>》（以下简称“问询函”）（</w:t>
      </w:r>
      <w:r w:rsidR="00A47A2F" w:rsidRPr="00B51B7C">
        <w:rPr>
          <w:rFonts w:asciiTheme="minorEastAsia" w:hAnsiTheme="minorEastAsia" w:hint="eastAsia"/>
          <w:bCs/>
          <w:sz w:val="28"/>
          <w:szCs w:val="28"/>
        </w:rPr>
        <w:t>公司部年报问询函〔2025〕第 86 号</w:t>
      </w:r>
      <w:r w:rsidRPr="00B51B7C">
        <w:rPr>
          <w:rFonts w:asciiTheme="minorEastAsia" w:hAnsiTheme="minorEastAsia" w:hint="eastAsia"/>
          <w:sz w:val="28"/>
          <w:szCs w:val="28"/>
        </w:rPr>
        <w:t>）的要求，苏亚金诚会计师事务所（特殊普通</w:t>
      </w:r>
      <w:r w:rsidR="00015206" w:rsidRPr="00B51B7C">
        <w:rPr>
          <w:rFonts w:asciiTheme="minorEastAsia" w:hAnsiTheme="minorEastAsia" w:hint="eastAsia"/>
          <w:sz w:val="28"/>
          <w:szCs w:val="28"/>
        </w:rPr>
        <w:t>合伙）（以下简称本事务所或者</w:t>
      </w:r>
      <w:r w:rsidR="002F2C7B" w:rsidRPr="00B51B7C">
        <w:rPr>
          <w:rFonts w:asciiTheme="minorEastAsia" w:hAnsiTheme="minorEastAsia" w:hint="eastAsia"/>
          <w:sz w:val="28"/>
          <w:szCs w:val="28"/>
        </w:rPr>
        <w:t>苏亚金诚</w:t>
      </w:r>
      <w:r w:rsidR="00015206" w:rsidRPr="00B51B7C">
        <w:rPr>
          <w:rFonts w:asciiTheme="minorEastAsia" w:hAnsiTheme="minorEastAsia" w:hint="eastAsia"/>
          <w:sz w:val="28"/>
          <w:szCs w:val="28"/>
        </w:rPr>
        <w:t>）对问询函中提到的需要</w:t>
      </w:r>
      <w:r w:rsidRPr="00B51B7C">
        <w:rPr>
          <w:rFonts w:asciiTheme="minorEastAsia" w:hAnsiTheme="minorEastAsia" w:hint="eastAsia"/>
          <w:sz w:val="28"/>
          <w:szCs w:val="28"/>
        </w:rPr>
        <w:t>会计师核查并发表明确意见的问题进行了认真核查。现将有关问题的核查情况说明如下：</w:t>
      </w:r>
    </w:p>
    <w:p w14:paraId="53A0E442" w14:textId="77777777" w:rsidR="00734F57" w:rsidRPr="00B51B7C" w:rsidRDefault="00734F57" w:rsidP="00734F57">
      <w:pPr>
        <w:ind w:firstLineChars="200" w:firstLine="560"/>
        <w:rPr>
          <w:rFonts w:asciiTheme="minorEastAsia" w:hAnsiTheme="minorEastAsia" w:cs="宋体"/>
          <w:kern w:val="0"/>
          <w:sz w:val="28"/>
          <w:szCs w:val="28"/>
        </w:rPr>
      </w:pPr>
    </w:p>
    <w:p w14:paraId="5E61A4D9" w14:textId="77777777" w:rsidR="00734F57" w:rsidRPr="00B51B7C" w:rsidRDefault="00734F57" w:rsidP="00734F57">
      <w:pPr>
        <w:ind w:firstLineChars="200" w:firstLine="560"/>
        <w:rPr>
          <w:rFonts w:asciiTheme="minorEastAsia" w:hAnsiTheme="minorEastAsia" w:cs="宋体"/>
          <w:kern w:val="0"/>
          <w:sz w:val="28"/>
          <w:szCs w:val="28"/>
        </w:rPr>
      </w:pPr>
    </w:p>
    <w:p w14:paraId="62FDEFBF" w14:textId="77777777" w:rsidR="00734F57" w:rsidRPr="00B51B7C" w:rsidRDefault="00734F57" w:rsidP="00734F57">
      <w:pPr>
        <w:ind w:firstLineChars="200" w:firstLine="560"/>
        <w:rPr>
          <w:rFonts w:asciiTheme="minorEastAsia" w:hAnsiTheme="minorEastAsia" w:cs="宋体"/>
          <w:kern w:val="0"/>
          <w:sz w:val="28"/>
          <w:szCs w:val="28"/>
        </w:rPr>
      </w:pPr>
    </w:p>
    <w:p w14:paraId="42E36733" w14:textId="77777777" w:rsidR="00734F57" w:rsidRPr="00B51B7C" w:rsidRDefault="00734F57" w:rsidP="00734F57">
      <w:pPr>
        <w:ind w:firstLineChars="200" w:firstLine="560"/>
        <w:rPr>
          <w:rFonts w:asciiTheme="minorEastAsia" w:hAnsiTheme="minorEastAsia" w:cs="宋体"/>
          <w:kern w:val="0"/>
          <w:sz w:val="28"/>
          <w:szCs w:val="28"/>
        </w:rPr>
      </w:pPr>
    </w:p>
    <w:p w14:paraId="28FAF030" w14:textId="77777777" w:rsidR="00734F57" w:rsidRPr="00B51B7C" w:rsidRDefault="00734F57" w:rsidP="00734F57">
      <w:pPr>
        <w:ind w:firstLineChars="200" w:firstLine="560"/>
        <w:rPr>
          <w:rFonts w:asciiTheme="minorEastAsia" w:hAnsiTheme="minorEastAsia" w:cs="宋体"/>
          <w:kern w:val="0"/>
          <w:sz w:val="28"/>
          <w:szCs w:val="28"/>
        </w:rPr>
      </w:pPr>
    </w:p>
    <w:p w14:paraId="3DDD210D" w14:textId="77777777" w:rsidR="00734F57" w:rsidRPr="00B51B7C" w:rsidRDefault="00734F57" w:rsidP="00734F57">
      <w:pPr>
        <w:ind w:firstLineChars="200" w:firstLine="560"/>
        <w:rPr>
          <w:rFonts w:asciiTheme="minorEastAsia" w:hAnsiTheme="minorEastAsia" w:cs="宋体"/>
          <w:kern w:val="0"/>
          <w:sz w:val="28"/>
          <w:szCs w:val="28"/>
        </w:rPr>
      </w:pPr>
    </w:p>
    <w:p w14:paraId="6749D1BA" w14:textId="77777777" w:rsidR="00734F57" w:rsidRPr="00B51B7C" w:rsidRDefault="00734F57" w:rsidP="00734F57">
      <w:pPr>
        <w:ind w:firstLineChars="200" w:firstLine="560"/>
        <w:rPr>
          <w:rFonts w:asciiTheme="minorEastAsia" w:hAnsiTheme="minorEastAsia" w:cs="宋体"/>
          <w:kern w:val="0"/>
          <w:sz w:val="28"/>
          <w:szCs w:val="28"/>
        </w:rPr>
      </w:pPr>
    </w:p>
    <w:p w14:paraId="15FFBCE4" w14:textId="77777777" w:rsidR="00734F57" w:rsidRPr="00B51B7C" w:rsidRDefault="00734F57" w:rsidP="00734F57">
      <w:pPr>
        <w:ind w:firstLineChars="200" w:firstLine="560"/>
        <w:rPr>
          <w:rFonts w:asciiTheme="minorEastAsia" w:hAnsiTheme="minorEastAsia" w:cs="宋体"/>
          <w:kern w:val="0"/>
          <w:sz w:val="28"/>
          <w:szCs w:val="28"/>
        </w:rPr>
      </w:pPr>
    </w:p>
    <w:p w14:paraId="0EFE3506" w14:textId="77777777" w:rsidR="00A422E2" w:rsidRPr="00B51B7C" w:rsidRDefault="00A422E2" w:rsidP="00734F57">
      <w:pPr>
        <w:ind w:firstLineChars="200" w:firstLine="560"/>
        <w:rPr>
          <w:rFonts w:asciiTheme="minorEastAsia" w:hAnsiTheme="minorEastAsia" w:cs="宋体"/>
          <w:kern w:val="0"/>
          <w:sz w:val="28"/>
          <w:szCs w:val="28"/>
        </w:rPr>
      </w:pPr>
    </w:p>
    <w:p w14:paraId="4944D184" w14:textId="77777777" w:rsidR="00734F57" w:rsidRPr="00B51B7C" w:rsidRDefault="00734F57" w:rsidP="00734F57">
      <w:pPr>
        <w:rPr>
          <w:rFonts w:asciiTheme="minorEastAsia" w:hAnsiTheme="minorEastAsia" w:cs="宋体"/>
          <w:kern w:val="0"/>
          <w:sz w:val="28"/>
          <w:szCs w:val="28"/>
        </w:rPr>
      </w:pPr>
      <w:r w:rsidRPr="00B51B7C">
        <w:rPr>
          <w:rFonts w:asciiTheme="minorEastAsia" w:hAnsiTheme="minorEastAsia" w:cs="宋体" w:hint="eastAsia"/>
          <w:kern w:val="0"/>
          <w:sz w:val="28"/>
          <w:szCs w:val="28"/>
        </w:rPr>
        <w:t>（本回复所引用的财务数据如无特殊说明，以万元为单位；部分合计数与各</w:t>
      </w:r>
      <w:proofErr w:type="gramStart"/>
      <w:r w:rsidRPr="00B51B7C">
        <w:rPr>
          <w:rFonts w:asciiTheme="minorEastAsia" w:hAnsiTheme="minorEastAsia" w:cs="宋体" w:hint="eastAsia"/>
          <w:kern w:val="0"/>
          <w:sz w:val="28"/>
          <w:szCs w:val="28"/>
        </w:rPr>
        <w:t>明细数</w:t>
      </w:r>
      <w:proofErr w:type="gramEnd"/>
      <w:r w:rsidRPr="00B51B7C">
        <w:rPr>
          <w:rFonts w:asciiTheme="minorEastAsia" w:hAnsiTheme="minorEastAsia" w:cs="宋体" w:hint="eastAsia"/>
          <w:kern w:val="0"/>
          <w:sz w:val="28"/>
          <w:szCs w:val="28"/>
        </w:rPr>
        <w:t>直接相加之和在尾数上如有差异，系由四舍五入的原因所致）</w:t>
      </w:r>
    </w:p>
    <w:p w14:paraId="7026807A" w14:textId="77777777" w:rsidR="00734F57" w:rsidRPr="00B51B7C" w:rsidRDefault="00734F57" w:rsidP="00BC6934">
      <w:pPr>
        <w:rPr>
          <w:rFonts w:asciiTheme="minorEastAsia" w:hAnsiTheme="minorEastAsia"/>
          <w:b/>
        </w:rPr>
      </w:pPr>
    </w:p>
    <w:p w14:paraId="101BCC1F" w14:textId="3180FCC8" w:rsidR="00270C1D" w:rsidRPr="00B51B7C" w:rsidRDefault="00270C1D" w:rsidP="00270C1D">
      <w:pPr>
        <w:keepNext/>
        <w:keepLines/>
        <w:spacing w:line="360" w:lineRule="auto"/>
        <w:ind w:firstLineChars="200" w:firstLine="482"/>
        <w:outlineLvl w:val="1"/>
        <w:rPr>
          <w:rFonts w:asciiTheme="minorEastAsia" w:hAnsiTheme="minorEastAsia" w:cs="Times"/>
          <w:b/>
          <w:bCs/>
          <w:sz w:val="24"/>
          <w:szCs w:val="24"/>
        </w:rPr>
      </w:pPr>
      <w:r w:rsidRPr="00B51B7C">
        <w:rPr>
          <w:rFonts w:asciiTheme="minorEastAsia" w:hAnsiTheme="minorEastAsia" w:cs="Times New Roman"/>
          <w:b/>
          <w:bCs/>
          <w:sz w:val="24"/>
          <w:szCs w:val="24"/>
        </w:rPr>
        <w:lastRenderedPageBreak/>
        <w:t>问</w:t>
      </w:r>
      <w:r w:rsidRPr="00B51B7C">
        <w:rPr>
          <w:rFonts w:asciiTheme="minorEastAsia" w:hAnsiTheme="minorEastAsia" w:cs="Times New Roman" w:hint="eastAsia"/>
          <w:b/>
          <w:bCs/>
          <w:sz w:val="24"/>
          <w:szCs w:val="24"/>
        </w:rPr>
        <w:t>题</w:t>
      </w:r>
      <w:r w:rsidR="007B2136" w:rsidRPr="00B51B7C">
        <w:rPr>
          <w:rFonts w:asciiTheme="minorEastAsia" w:hAnsiTheme="minorEastAsia" w:cs="Times" w:hint="eastAsia"/>
          <w:b/>
          <w:bCs/>
          <w:sz w:val="24"/>
          <w:szCs w:val="24"/>
        </w:rPr>
        <w:t>2</w:t>
      </w:r>
      <w:r w:rsidRPr="00B51B7C">
        <w:rPr>
          <w:rFonts w:asciiTheme="minorEastAsia" w:hAnsiTheme="minorEastAsia" w:cs="Times"/>
          <w:b/>
          <w:bCs/>
          <w:sz w:val="24"/>
          <w:szCs w:val="24"/>
        </w:rPr>
        <w:t>.</w:t>
      </w:r>
    </w:p>
    <w:p w14:paraId="44DC17A5" w14:textId="77777777" w:rsidR="007B2136" w:rsidRPr="00B51B7C" w:rsidRDefault="007B2136" w:rsidP="003F5258">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你公司2023年内控审计报告被出具否定意见，涉及事项包括关联方资金占用未整改到位、违规担保未整改到位等重大缺陷。根据你公司《关于申请撤销退市风险警示及部分其他风险警示暨继续被实施其他风险警示的公告》，公司已在重整过程中规范内部控制体系，完成对否定意见所涉事项的整改，审计机构对你公司2024年度内部控制出具标准无保留意见的《内部控制审计报告》。请你公司：</w:t>
      </w:r>
    </w:p>
    <w:p w14:paraId="41A02983" w14:textId="5EBC8D22" w:rsidR="007B2136" w:rsidRPr="00B51B7C" w:rsidRDefault="007B2136" w:rsidP="003F5258">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（2）请年审机构说明是否根据《企业内部控制审计指引实施意见》的要求，确定整改后控制运行的</w:t>
      </w:r>
      <w:proofErr w:type="gramStart"/>
      <w:r w:rsidRPr="00B51B7C">
        <w:rPr>
          <w:rFonts w:asciiTheme="minorEastAsia" w:hAnsiTheme="minorEastAsia" w:cs="Times" w:hint="eastAsia"/>
          <w:b/>
          <w:bCs/>
          <w:kern w:val="0"/>
          <w:sz w:val="24"/>
          <w:szCs w:val="24"/>
        </w:rPr>
        <w:t>最</w:t>
      </w:r>
      <w:proofErr w:type="gramEnd"/>
      <w:r w:rsidRPr="00B51B7C">
        <w:rPr>
          <w:rFonts w:asciiTheme="minorEastAsia" w:hAnsiTheme="minorEastAsia" w:cs="Times" w:hint="eastAsia"/>
          <w:b/>
          <w:bCs/>
          <w:kern w:val="0"/>
          <w:sz w:val="24"/>
          <w:szCs w:val="24"/>
        </w:rPr>
        <w:t>短期间以及最少测试数量，若是，说明具体运行期间、测试数量、测试方法及结果；若否，请说明整改后控制运行时间是否足够。</w:t>
      </w:r>
    </w:p>
    <w:p w14:paraId="3FEF9B4A" w14:textId="77777777" w:rsidR="00721A23" w:rsidRPr="00B51B7C" w:rsidRDefault="00454458" w:rsidP="00454458">
      <w:pPr>
        <w:spacing w:line="360" w:lineRule="auto"/>
        <w:ind w:firstLineChars="200" w:firstLine="482"/>
        <w:rPr>
          <w:rFonts w:asciiTheme="minorEastAsia" w:hAnsiTheme="minorEastAsia" w:cs="Times New Roman"/>
          <w:b/>
          <w:sz w:val="24"/>
          <w:szCs w:val="28"/>
          <w:lang w:val="en-GB"/>
        </w:rPr>
      </w:pPr>
      <w:r w:rsidRPr="00B51B7C">
        <w:rPr>
          <w:rFonts w:asciiTheme="minorEastAsia" w:hAnsiTheme="minorEastAsia" w:cs="Times New Roman" w:hint="eastAsia"/>
          <w:b/>
          <w:sz w:val="24"/>
          <w:szCs w:val="28"/>
          <w:lang w:val="en-GB"/>
        </w:rPr>
        <w:t>会计师回复：</w:t>
      </w:r>
    </w:p>
    <w:p w14:paraId="3D1D08DB" w14:textId="77777777" w:rsidR="00721A23" w:rsidRPr="00B51B7C" w:rsidRDefault="00721A23" w:rsidP="00721A23">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根据《企业内部控制审计指引实施意见》，如果被审计单位在基准日前对存在缺陷的控制进行了整改，整改后的控制需要运行足够长的时间，才能使注册会计师得出其是否有效的审计结论。注册会计师应当根据控制的性质和与控制相关的风险，合理运用职业判断，确定整改后控制运行的</w:t>
      </w:r>
      <w:proofErr w:type="gramStart"/>
      <w:r w:rsidRPr="00B51B7C">
        <w:rPr>
          <w:rFonts w:asciiTheme="minorEastAsia" w:hAnsiTheme="minorEastAsia" w:cs="Times New Roman" w:hint="eastAsia"/>
          <w:sz w:val="24"/>
          <w:szCs w:val="28"/>
        </w:rPr>
        <w:t>最</w:t>
      </w:r>
      <w:proofErr w:type="gramEnd"/>
      <w:r w:rsidRPr="00B51B7C">
        <w:rPr>
          <w:rFonts w:asciiTheme="minorEastAsia" w:hAnsiTheme="minorEastAsia" w:cs="Times New Roman" w:hint="eastAsia"/>
          <w:sz w:val="24"/>
          <w:szCs w:val="28"/>
        </w:rPr>
        <w:t>短期间（或整改后控制的最少运行次数）以及最少测试数量。整改后控制运行的</w:t>
      </w:r>
      <w:proofErr w:type="gramStart"/>
      <w:r w:rsidRPr="00B51B7C">
        <w:rPr>
          <w:rFonts w:asciiTheme="minorEastAsia" w:hAnsiTheme="minorEastAsia" w:cs="Times New Roman" w:hint="eastAsia"/>
          <w:sz w:val="24"/>
          <w:szCs w:val="28"/>
        </w:rPr>
        <w:t>最</w:t>
      </w:r>
      <w:proofErr w:type="gramEnd"/>
      <w:r w:rsidRPr="00B51B7C">
        <w:rPr>
          <w:rFonts w:asciiTheme="minorEastAsia" w:hAnsiTheme="minorEastAsia" w:cs="Times New Roman" w:hint="eastAsia"/>
          <w:sz w:val="24"/>
          <w:szCs w:val="28"/>
        </w:rPr>
        <w:t>短期间（或最少运行次数）和最少测试数量参见下表。</w:t>
      </w:r>
    </w:p>
    <w:tbl>
      <w:tblPr>
        <w:tblStyle w:val="ae"/>
        <w:tblW w:w="8323" w:type="dxa"/>
        <w:jc w:val="center"/>
        <w:tblLook w:val="04A0" w:firstRow="1" w:lastRow="0" w:firstColumn="1" w:lastColumn="0" w:noHBand="0" w:noVBand="1"/>
      </w:tblPr>
      <w:tblGrid>
        <w:gridCol w:w="2051"/>
        <w:gridCol w:w="5043"/>
        <w:gridCol w:w="1229"/>
      </w:tblGrid>
      <w:tr w:rsidR="00721A23" w:rsidRPr="00B51B7C" w14:paraId="2A8EC5C3" w14:textId="77777777" w:rsidTr="003C6F37">
        <w:trPr>
          <w:jc w:val="center"/>
        </w:trPr>
        <w:tc>
          <w:tcPr>
            <w:tcW w:w="2051" w:type="dxa"/>
            <w:vAlign w:val="center"/>
          </w:tcPr>
          <w:p w14:paraId="32251F1D" w14:textId="20916D42" w:rsidR="00721A23" w:rsidRPr="00B51B7C" w:rsidRDefault="00721A23"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控制运行频率</w:t>
            </w:r>
          </w:p>
        </w:tc>
        <w:tc>
          <w:tcPr>
            <w:tcW w:w="5043" w:type="dxa"/>
            <w:vAlign w:val="center"/>
          </w:tcPr>
          <w:p w14:paraId="55276A23" w14:textId="1C010996" w:rsidR="00721A23" w:rsidRPr="00B51B7C" w:rsidRDefault="00721A23"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整改后控制运行的</w:t>
            </w:r>
            <w:proofErr w:type="gramStart"/>
            <w:r w:rsidRPr="00B51B7C">
              <w:rPr>
                <w:rFonts w:asciiTheme="minorEastAsia" w:hAnsiTheme="minorEastAsia" w:hint="eastAsia"/>
                <w:b/>
                <w:bCs/>
                <w:sz w:val="24"/>
              </w:rPr>
              <w:t>最</w:t>
            </w:r>
            <w:proofErr w:type="gramEnd"/>
            <w:r w:rsidRPr="00B51B7C">
              <w:rPr>
                <w:rFonts w:asciiTheme="minorEastAsia" w:hAnsiTheme="minorEastAsia" w:hint="eastAsia"/>
                <w:b/>
                <w:bCs/>
                <w:sz w:val="24"/>
              </w:rPr>
              <w:t>短期间或最少运行次数</w:t>
            </w:r>
          </w:p>
        </w:tc>
        <w:tc>
          <w:tcPr>
            <w:tcW w:w="1229" w:type="dxa"/>
          </w:tcPr>
          <w:p w14:paraId="641F9472" w14:textId="72CB281E" w:rsidR="00721A23" w:rsidRPr="00B51B7C" w:rsidRDefault="00721A23"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最少测试数量</w:t>
            </w:r>
          </w:p>
        </w:tc>
      </w:tr>
      <w:tr w:rsidR="00721A23" w:rsidRPr="00B51B7C" w14:paraId="40F44913" w14:textId="77777777" w:rsidTr="003C6F37">
        <w:trPr>
          <w:jc w:val="center"/>
        </w:trPr>
        <w:tc>
          <w:tcPr>
            <w:tcW w:w="2051" w:type="dxa"/>
            <w:vAlign w:val="center"/>
          </w:tcPr>
          <w:p w14:paraId="42459658" w14:textId="26EC156A" w:rsidR="00721A23" w:rsidRPr="00B51B7C" w:rsidRDefault="00721A23" w:rsidP="00BF7747">
            <w:pPr>
              <w:spacing w:line="276" w:lineRule="auto"/>
              <w:rPr>
                <w:rFonts w:asciiTheme="minorEastAsia" w:hAnsiTheme="minorEastAsia"/>
                <w:sz w:val="24"/>
              </w:rPr>
            </w:pPr>
            <w:r w:rsidRPr="00B51B7C">
              <w:rPr>
                <w:rFonts w:asciiTheme="minorEastAsia" w:hAnsiTheme="minorEastAsia" w:hint="eastAsia"/>
              </w:rPr>
              <w:t>每季一次</w:t>
            </w:r>
          </w:p>
        </w:tc>
        <w:tc>
          <w:tcPr>
            <w:tcW w:w="5043" w:type="dxa"/>
          </w:tcPr>
          <w:p w14:paraId="2035E5F5" w14:textId="4B202A41" w:rsidR="00721A23" w:rsidRPr="00B51B7C" w:rsidRDefault="00721A23" w:rsidP="00BF7747">
            <w:pPr>
              <w:spacing w:line="276" w:lineRule="auto"/>
              <w:rPr>
                <w:rFonts w:asciiTheme="minorEastAsia" w:hAnsiTheme="minorEastAsia"/>
                <w:szCs w:val="21"/>
              </w:rPr>
            </w:pPr>
            <w:r w:rsidRPr="00B51B7C">
              <w:rPr>
                <w:rFonts w:asciiTheme="minorEastAsia" w:hAnsiTheme="minorEastAsia" w:hint="eastAsia"/>
                <w:szCs w:val="21"/>
              </w:rPr>
              <w:t>2个季度</w:t>
            </w:r>
          </w:p>
        </w:tc>
        <w:tc>
          <w:tcPr>
            <w:tcW w:w="1229" w:type="dxa"/>
            <w:vAlign w:val="center"/>
          </w:tcPr>
          <w:p w14:paraId="4EC399E8" w14:textId="0B7C3BCA" w:rsidR="00721A23" w:rsidRPr="00B51B7C" w:rsidRDefault="00721A23" w:rsidP="00BF7747">
            <w:pPr>
              <w:spacing w:line="276" w:lineRule="auto"/>
              <w:jc w:val="center"/>
              <w:rPr>
                <w:rFonts w:asciiTheme="minorEastAsia" w:hAnsiTheme="minorEastAsia"/>
              </w:rPr>
            </w:pPr>
            <w:r w:rsidRPr="00B51B7C">
              <w:rPr>
                <w:rFonts w:asciiTheme="minorEastAsia" w:hAnsiTheme="minorEastAsia" w:hint="eastAsia"/>
              </w:rPr>
              <w:t>2</w:t>
            </w:r>
          </w:p>
        </w:tc>
      </w:tr>
      <w:tr w:rsidR="00721A23" w:rsidRPr="00B51B7C" w14:paraId="59BFC2DD" w14:textId="77777777" w:rsidTr="003C6F37">
        <w:trPr>
          <w:jc w:val="center"/>
        </w:trPr>
        <w:tc>
          <w:tcPr>
            <w:tcW w:w="2051" w:type="dxa"/>
            <w:vAlign w:val="center"/>
          </w:tcPr>
          <w:p w14:paraId="76A4380A" w14:textId="02020DD4" w:rsidR="00721A23" w:rsidRPr="00B51B7C" w:rsidRDefault="00721A23" w:rsidP="00BF7747">
            <w:pPr>
              <w:spacing w:line="276" w:lineRule="auto"/>
              <w:rPr>
                <w:rFonts w:asciiTheme="minorEastAsia" w:hAnsiTheme="minorEastAsia"/>
                <w:sz w:val="24"/>
              </w:rPr>
            </w:pPr>
            <w:r w:rsidRPr="00B51B7C">
              <w:rPr>
                <w:rFonts w:asciiTheme="minorEastAsia" w:hAnsiTheme="minorEastAsia" w:hint="eastAsia"/>
              </w:rPr>
              <w:t>每月一次</w:t>
            </w:r>
          </w:p>
        </w:tc>
        <w:tc>
          <w:tcPr>
            <w:tcW w:w="5043" w:type="dxa"/>
          </w:tcPr>
          <w:p w14:paraId="1506C52E" w14:textId="09A722ED" w:rsidR="00721A23" w:rsidRPr="00B51B7C" w:rsidRDefault="00721A23" w:rsidP="00BF7747">
            <w:pPr>
              <w:spacing w:line="276" w:lineRule="auto"/>
              <w:rPr>
                <w:rFonts w:asciiTheme="minorEastAsia" w:hAnsiTheme="minorEastAsia"/>
              </w:rPr>
            </w:pPr>
            <w:r w:rsidRPr="00B51B7C">
              <w:rPr>
                <w:rFonts w:asciiTheme="minorEastAsia" w:hAnsiTheme="minorEastAsia" w:hint="eastAsia"/>
              </w:rPr>
              <w:t>2个月</w:t>
            </w:r>
          </w:p>
        </w:tc>
        <w:tc>
          <w:tcPr>
            <w:tcW w:w="1229" w:type="dxa"/>
            <w:vAlign w:val="center"/>
          </w:tcPr>
          <w:p w14:paraId="3FC73EC4" w14:textId="2DA835DD" w:rsidR="00721A23" w:rsidRPr="00B51B7C" w:rsidRDefault="00721A23" w:rsidP="00BF7747">
            <w:pPr>
              <w:spacing w:line="276" w:lineRule="auto"/>
              <w:jc w:val="center"/>
              <w:rPr>
                <w:rFonts w:asciiTheme="minorEastAsia" w:hAnsiTheme="minorEastAsia"/>
              </w:rPr>
            </w:pPr>
            <w:r w:rsidRPr="00B51B7C">
              <w:rPr>
                <w:rFonts w:asciiTheme="minorEastAsia" w:hAnsiTheme="minorEastAsia" w:hint="eastAsia"/>
              </w:rPr>
              <w:t>2</w:t>
            </w:r>
          </w:p>
        </w:tc>
      </w:tr>
      <w:tr w:rsidR="00721A23" w:rsidRPr="00B51B7C" w14:paraId="361D8EAB" w14:textId="77777777" w:rsidTr="003C6F37">
        <w:trPr>
          <w:jc w:val="center"/>
        </w:trPr>
        <w:tc>
          <w:tcPr>
            <w:tcW w:w="2051" w:type="dxa"/>
            <w:vAlign w:val="center"/>
          </w:tcPr>
          <w:p w14:paraId="79F14DEA" w14:textId="285FD6CE" w:rsidR="00721A23" w:rsidRPr="00B51B7C" w:rsidRDefault="00721A23" w:rsidP="00BF7747">
            <w:pPr>
              <w:spacing w:line="276" w:lineRule="auto"/>
              <w:rPr>
                <w:rFonts w:asciiTheme="minorEastAsia" w:hAnsiTheme="minorEastAsia"/>
              </w:rPr>
            </w:pPr>
            <w:r w:rsidRPr="00B51B7C">
              <w:rPr>
                <w:rFonts w:asciiTheme="minorEastAsia" w:hAnsiTheme="minorEastAsia" w:hint="eastAsia"/>
              </w:rPr>
              <w:t>每周一次</w:t>
            </w:r>
          </w:p>
        </w:tc>
        <w:tc>
          <w:tcPr>
            <w:tcW w:w="5043" w:type="dxa"/>
          </w:tcPr>
          <w:p w14:paraId="3947117B" w14:textId="5326D8BC" w:rsidR="00721A23" w:rsidRPr="00B51B7C" w:rsidRDefault="00721A23" w:rsidP="00BF7747">
            <w:pPr>
              <w:spacing w:line="276" w:lineRule="auto"/>
              <w:rPr>
                <w:rFonts w:asciiTheme="minorEastAsia" w:hAnsiTheme="minorEastAsia"/>
              </w:rPr>
            </w:pPr>
            <w:r w:rsidRPr="00B51B7C">
              <w:rPr>
                <w:rFonts w:asciiTheme="minorEastAsia" w:hAnsiTheme="minorEastAsia" w:hint="eastAsia"/>
              </w:rPr>
              <w:t>5周</w:t>
            </w:r>
          </w:p>
        </w:tc>
        <w:tc>
          <w:tcPr>
            <w:tcW w:w="1229" w:type="dxa"/>
            <w:vAlign w:val="center"/>
          </w:tcPr>
          <w:p w14:paraId="76765EBE" w14:textId="23AA3FB6" w:rsidR="00721A23" w:rsidRPr="00B51B7C" w:rsidRDefault="00721A23" w:rsidP="00BF7747">
            <w:pPr>
              <w:spacing w:line="276" w:lineRule="auto"/>
              <w:jc w:val="center"/>
              <w:rPr>
                <w:rFonts w:asciiTheme="minorEastAsia" w:hAnsiTheme="minorEastAsia"/>
              </w:rPr>
            </w:pPr>
            <w:r w:rsidRPr="00B51B7C">
              <w:rPr>
                <w:rFonts w:asciiTheme="minorEastAsia" w:hAnsiTheme="minorEastAsia" w:hint="eastAsia"/>
              </w:rPr>
              <w:t>5</w:t>
            </w:r>
          </w:p>
        </w:tc>
      </w:tr>
      <w:tr w:rsidR="00721A23" w:rsidRPr="00B51B7C" w14:paraId="4CA79B7F" w14:textId="77777777" w:rsidTr="003C6F37">
        <w:trPr>
          <w:jc w:val="center"/>
        </w:trPr>
        <w:tc>
          <w:tcPr>
            <w:tcW w:w="2051" w:type="dxa"/>
            <w:vAlign w:val="center"/>
          </w:tcPr>
          <w:p w14:paraId="2CA37413" w14:textId="437F7C7B" w:rsidR="00721A23" w:rsidRPr="00B51B7C" w:rsidRDefault="00721A23" w:rsidP="00BF7747">
            <w:pPr>
              <w:spacing w:line="276" w:lineRule="auto"/>
              <w:rPr>
                <w:rFonts w:asciiTheme="minorEastAsia" w:hAnsiTheme="minorEastAsia"/>
              </w:rPr>
            </w:pPr>
            <w:r w:rsidRPr="00B51B7C">
              <w:rPr>
                <w:rFonts w:asciiTheme="minorEastAsia" w:hAnsiTheme="minorEastAsia" w:hint="eastAsia"/>
              </w:rPr>
              <w:t>每天一次</w:t>
            </w:r>
          </w:p>
        </w:tc>
        <w:tc>
          <w:tcPr>
            <w:tcW w:w="5043" w:type="dxa"/>
          </w:tcPr>
          <w:p w14:paraId="15A8C3F0" w14:textId="57914086" w:rsidR="00721A23" w:rsidRPr="00B51B7C" w:rsidRDefault="00721A23" w:rsidP="00BF7747">
            <w:pPr>
              <w:spacing w:line="276" w:lineRule="auto"/>
              <w:rPr>
                <w:rFonts w:asciiTheme="minorEastAsia" w:hAnsiTheme="minorEastAsia"/>
              </w:rPr>
            </w:pPr>
            <w:r w:rsidRPr="00B51B7C">
              <w:rPr>
                <w:rFonts w:asciiTheme="minorEastAsia" w:hAnsiTheme="minorEastAsia" w:hint="eastAsia"/>
              </w:rPr>
              <w:t>20天</w:t>
            </w:r>
          </w:p>
        </w:tc>
        <w:tc>
          <w:tcPr>
            <w:tcW w:w="1229" w:type="dxa"/>
            <w:vAlign w:val="center"/>
          </w:tcPr>
          <w:p w14:paraId="06718929" w14:textId="4AE860AE" w:rsidR="00721A23" w:rsidRPr="00B51B7C" w:rsidRDefault="00721A23" w:rsidP="00BF7747">
            <w:pPr>
              <w:spacing w:line="276" w:lineRule="auto"/>
              <w:jc w:val="center"/>
              <w:rPr>
                <w:rFonts w:asciiTheme="minorEastAsia" w:hAnsiTheme="minorEastAsia"/>
              </w:rPr>
            </w:pPr>
            <w:r w:rsidRPr="00B51B7C">
              <w:rPr>
                <w:rFonts w:asciiTheme="minorEastAsia" w:hAnsiTheme="minorEastAsia" w:hint="eastAsia"/>
              </w:rPr>
              <w:t>20</w:t>
            </w:r>
          </w:p>
        </w:tc>
      </w:tr>
      <w:tr w:rsidR="00721A23" w:rsidRPr="00B51B7C" w14:paraId="4327FA08" w14:textId="77777777" w:rsidTr="003C6F37">
        <w:trPr>
          <w:jc w:val="center"/>
        </w:trPr>
        <w:tc>
          <w:tcPr>
            <w:tcW w:w="2051" w:type="dxa"/>
            <w:vAlign w:val="center"/>
          </w:tcPr>
          <w:p w14:paraId="55053A6A" w14:textId="77F2310B" w:rsidR="00721A23" w:rsidRPr="00B51B7C" w:rsidRDefault="00721A23" w:rsidP="00BF7747">
            <w:pPr>
              <w:spacing w:line="276" w:lineRule="auto"/>
              <w:rPr>
                <w:rFonts w:asciiTheme="minorEastAsia" w:hAnsiTheme="minorEastAsia"/>
              </w:rPr>
            </w:pPr>
            <w:r w:rsidRPr="00B51B7C">
              <w:rPr>
                <w:rFonts w:asciiTheme="minorEastAsia" w:hAnsiTheme="minorEastAsia" w:hint="eastAsia"/>
              </w:rPr>
              <w:t>每天多次</w:t>
            </w:r>
          </w:p>
        </w:tc>
        <w:tc>
          <w:tcPr>
            <w:tcW w:w="5043" w:type="dxa"/>
          </w:tcPr>
          <w:p w14:paraId="449EE832" w14:textId="059CA511" w:rsidR="00721A23" w:rsidRPr="00B51B7C" w:rsidRDefault="00721A23" w:rsidP="00BF7747">
            <w:pPr>
              <w:spacing w:line="276" w:lineRule="auto"/>
              <w:rPr>
                <w:rFonts w:asciiTheme="minorEastAsia" w:hAnsiTheme="minorEastAsia"/>
              </w:rPr>
            </w:pPr>
            <w:r w:rsidRPr="00B51B7C">
              <w:rPr>
                <w:rFonts w:asciiTheme="minorEastAsia" w:hAnsiTheme="minorEastAsia" w:hint="eastAsia"/>
              </w:rPr>
              <w:t>25次（分布于涵盖多天的期间，通常不少于15天</w:t>
            </w:r>
          </w:p>
        </w:tc>
        <w:tc>
          <w:tcPr>
            <w:tcW w:w="1229" w:type="dxa"/>
            <w:vAlign w:val="center"/>
          </w:tcPr>
          <w:p w14:paraId="1F3EB164" w14:textId="0092A033" w:rsidR="00721A23" w:rsidRPr="00B51B7C" w:rsidRDefault="00721A23" w:rsidP="00BF7747">
            <w:pPr>
              <w:spacing w:line="276" w:lineRule="auto"/>
              <w:jc w:val="center"/>
              <w:rPr>
                <w:rFonts w:asciiTheme="minorEastAsia" w:hAnsiTheme="minorEastAsia"/>
              </w:rPr>
            </w:pPr>
            <w:r w:rsidRPr="00B51B7C">
              <w:rPr>
                <w:rFonts w:asciiTheme="minorEastAsia" w:hAnsiTheme="minorEastAsia" w:hint="eastAsia"/>
              </w:rPr>
              <w:t>25</w:t>
            </w:r>
          </w:p>
        </w:tc>
      </w:tr>
    </w:tbl>
    <w:p w14:paraId="7C9EEBCE" w14:textId="2F6463E3" w:rsidR="00721A23" w:rsidRPr="00B51B7C" w:rsidRDefault="00EE3071" w:rsidP="00454458">
      <w:pPr>
        <w:spacing w:line="360" w:lineRule="auto"/>
        <w:ind w:firstLineChars="200" w:firstLine="480"/>
        <w:rPr>
          <w:rFonts w:asciiTheme="minorEastAsia" w:hAnsiTheme="minorEastAsia" w:cs="Times New Roman"/>
          <w:bCs/>
          <w:sz w:val="24"/>
          <w:szCs w:val="28"/>
          <w:lang w:val="en-GB"/>
        </w:rPr>
      </w:pPr>
      <w:r w:rsidRPr="00B51B7C">
        <w:rPr>
          <w:rFonts w:asciiTheme="minorEastAsia" w:hAnsiTheme="minorEastAsia" w:cs="Times New Roman" w:hint="eastAsia"/>
          <w:bCs/>
          <w:sz w:val="24"/>
          <w:szCs w:val="28"/>
          <w:lang w:val="en-GB"/>
        </w:rPr>
        <w:t>我们根据《企业内部控制审计指引实施意见》的要求，确定了整改后控制运行的</w:t>
      </w:r>
      <w:proofErr w:type="gramStart"/>
      <w:r w:rsidRPr="00B51B7C">
        <w:rPr>
          <w:rFonts w:asciiTheme="minorEastAsia" w:hAnsiTheme="minorEastAsia" w:cs="Times New Roman" w:hint="eastAsia"/>
          <w:bCs/>
          <w:sz w:val="24"/>
          <w:szCs w:val="28"/>
          <w:lang w:val="en-GB"/>
        </w:rPr>
        <w:t>最</w:t>
      </w:r>
      <w:proofErr w:type="gramEnd"/>
      <w:r w:rsidRPr="00B51B7C">
        <w:rPr>
          <w:rFonts w:asciiTheme="minorEastAsia" w:hAnsiTheme="minorEastAsia" w:cs="Times New Roman" w:hint="eastAsia"/>
          <w:bCs/>
          <w:sz w:val="24"/>
          <w:szCs w:val="28"/>
          <w:lang w:val="en-GB"/>
        </w:rPr>
        <w:t>短期间以及最少测试数量，具体如下：</w:t>
      </w:r>
    </w:p>
    <w:p w14:paraId="185E3601" w14:textId="54FEA13B" w:rsidR="00EE3071" w:rsidRPr="00B51B7C" w:rsidRDefault="00EE3071" w:rsidP="00454458">
      <w:pPr>
        <w:spacing w:line="360" w:lineRule="auto"/>
        <w:ind w:firstLineChars="200" w:firstLine="480"/>
        <w:rPr>
          <w:rFonts w:asciiTheme="minorEastAsia" w:hAnsiTheme="minorEastAsia" w:cs="Times New Roman"/>
          <w:bCs/>
          <w:sz w:val="24"/>
          <w:szCs w:val="28"/>
          <w:lang w:val="en-GB"/>
        </w:rPr>
      </w:pPr>
      <w:r w:rsidRPr="00B51B7C">
        <w:rPr>
          <w:rFonts w:asciiTheme="minorEastAsia" w:hAnsiTheme="minorEastAsia" w:cs="Times New Roman"/>
          <w:bCs/>
          <w:sz w:val="24"/>
          <w:szCs w:val="28"/>
          <w:lang w:val="en-GB"/>
        </w:rPr>
        <w:t>1.</w:t>
      </w:r>
      <w:r w:rsidRPr="00B51B7C">
        <w:rPr>
          <w:rFonts w:asciiTheme="minorEastAsia" w:hAnsiTheme="minorEastAsia" w:hint="eastAsia"/>
          <w:bCs/>
        </w:rPr>
        <w:t xml:space="preserve"> </w:t>
      </w:r>
      <w:r w:rsidRPr="00B51B7C">
        <w:rPr>
          <w:rFonts w:asciiTheme="minorEastAsia" w:hAnsiTheme="minorEastAsia" w:cs="Times New Roman" w:hint="eastAsia"/>
          <w:bCs/>
          <w:sz w:val="24"/>
          <w:szCs w:val="28"/>
          <w:lang w:val="en-GB"/>
        </w:rPr>
        <w:t>关联方资金占用</w:t>
      </w:r>
    </w:p>
    <w:p w14:paraId="76B261BF" w14:textId="7D9F07BB" w:rsidR="00F6296C" w:rsidRPr="00B51B7C" w:rsidRDefault="00F6296C" w:rsidP="00F6296C">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公司关联方资金占用事项相关内部控制程序主要为资金支付管理及审批流程，针对该事项，我们认为该项内部控制运行频率每天多次，整改后控制运行的</w:t>
      </w:r>
      <w:proofErr w:type="gramStart"/>
      <w:r w:rsidRPr="00B51B7C">
        <w:rPr>
          <w:rFonts w:asciiTheme="minorEastAsia" w:hAnsiTheme="minorEastAsia" w:cs="Times New Roman" w:hint="eastAsia"/>
          <w:sz w:val="24"/>
          <w:szCs w:val="28"/>
        </w:rPr>
        <w:t>最</w:t>
      </w:r>
      <w:proofErr w:type="gramEnd"/>
      <w:r w:rsidRPr="00B51B7C">
        <w:rPr>
          <w:rFonts w:asciiTheme="minorEastAsia" w:hAnsiTheme="minorEastAsia" w:cs="Times New Roman" w:hint="eastAsia"/>
          <w:sz w:val="24"/>
          <w:szCs w:val="28"/>
        </w:rPr>
        <w:t>短期间或最少运行次数为 15 天，最少测试数量为 25 次。公司于 2023 年完成对相关内部控制的整改和规范，因此，我们选择整改完成后的所有会计期间</w:t>
      </w:r>
      <w:r w:rsidRPr="00B51B7C">
        <w:rPr>
          <w:rFonts w:asciiTheme="minorEastAsia" w:hAnsiTheme="minorEastAsia" w:cs="Times New Roman" w:hint="eastAsia"/>
          <w:sz w:val="24"/>
          <w:szCs w:val="28"/>
        </w:rPr>
        <w:lastRenderedPageBreak/>
        <w:t>即 2024年 1-12 月，选取了 25 笔样本进行测试。</w:t>
      </w:r>
    </w:p>
    <w:p w14:paraId="02656A78" w14:textId="77777777"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我们按照中国注册会计师审计准则的要求，设计和执行了相关程序，针对上述问题我们执行的主要程序以及取得的审计证据如下：</w:t>
      </w:r>
    </w:p>
    <w:p w14:paraId="5AD1E88C" w14:textId="56656BE7"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（1）了解公司与</w:t>
      </w:r>
      <w:bookmarkStart w:id="0" w:name="_Hlk198130962"/>
      <w:r w:rsidRPr="00B51B7C">
        <w:rPr>
          <w:rFonts w:asciiTheme="minorEastAsia" w:hAnsiTheme="minorEastAsia" w:cs="Times New Roman" w:hint="eastAsia"/>
          <w:sz w:val="24"/>
          <w:szCs w:val="28"/>
        </w:rPr>
        <w:t>资金支付管理及审批</w:t>
      </w:r>
      <w:bookmarkEnd w:id="0"/>
      <w:r w:rsidRPr="00B51B7C">
        <w:rPr>
          <w:rFonts w:asciiTheme="minorEastAsia" w:hAnsiTheme="minorEastAsia" w:cs="Times New Roman" w:hint="eastAsia"/>
          <w:sz w:val="24"/>
          <w:szCs w:val="28"/>
        </w:rPr>
        <w:t>相关的内部控制措施与制度情况，并记录相关控制活动及控制目标，以及受</w:t>
      </w:r>
      <w:proofErr w:type="gramStart"/>
      <w:r w:rsidRPr="00B51B7C">
        <w:rPr>
          <w:rFonts w:asciiTheme="minorEastAsia" w:hAnsiTheme="minorEastAsia" w:cs="Times New Roman" w:hint="eastAsia"/>
          <w:sz w:val="24"/>
          <w:szCs w:val="28"/>
        </w:rPr>
        <w:t>该控制</w:t>
      </w:r>
      <w:proofErr w:type="gramEnd"/>
      <w:r w:rsidRPr="00B51B7C">
        <w:rPr>
          <w:rFonts w:asciiTheme="minorEastAsia" w:hAnsiTheme="minorEastAsia" w:cs="Times New Roman" w:hint="eastAsia"/>
          <w:sz w:val="24"/>
          <w:szCs w:val="28"/>
        </w:rPr>
        <w:t>活动影响的交易类别、账户余额和披露及其认定；了解公司对资金支付等业务环节的控制制度及执行情况；</w:t>
      </w:r>
    </w:p>
    <w:p w14:paraId="41D32BAD" w14:textId="22D06C70"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（2）结合公司对</w:t>
      </w:r>
      <w:r w:rsidR="00785C23" w:rsidRPr="00B51B7C">
        <w:rPr>
          <w:rFonts w:asciiTheme="minorEastAsia" w:hAnsiTheme="minorEastAsia" w:cs="Times New Roman" w:hint="eastAsia"/>
          <w:sz w:val="24"/>
          <w:szCs w:val="28"/>
        </w:rPr>
        <w:t>资金支付管理及审批</w:t>
      </w:r>
      <w:r w:rsidRPr="00B51B7C">
        <w:rPr>
          <w:rFonts w:asciiTheme="minorEastAsia" w:hAnsiTheme="minorEastAsia" w:cs="Times New Roman" w:hint="eastAsia"/>
          <w:sz w:val="24"/>
          <w:szCs w:val="28"/>
        </w:rPr>
        <w:t>业务的控制措施，执行穿行测试，评价内部控制的设计是否合理、是否得到执行；检查</w:t>
      </w:r>
      <w:r w:rsidR="00785C23" w:rsidRPr="00B51B7C">
        <w:rPr>
          <w:rFonts w:asciiTheme="minorEastAsia" w:hAnsiTheme="minorEastAsia" w:cs="Times New Roman" w:hint="eastAsia"/>
          <w:sz w:val="24"/>
          <w:szCs w:val="28"/>
        </w:rPr>
        <w:t>付款银行回单、付款审批单</w:t>
      </w:r>
      <w:r w:rsidRPr="00B51B7C">
        <w:rPr>
          <w:rFonts w:asciiTheme="minorEastAsia" w:hAnsiTheme="minorEastAsia" w:cs="Times New Roman" w:hint="eastAsia"/>
          <w:sz w:val="24"/>
          <w:szCs w:val="28"/>
        </w:rPr>
        <w:t>及</w:t>
      </w:r>
      <w:r w:rsidR="00785C23" w:rsidRPr="00B51B7C">
        <w:rPr>
          <w:rFonts w:asciiTheme="minorEastAsia" w:hAnsiTheme="minorEastAsia" w:cs="Times New Roman" w:hint="eastAsia"/>
          <w:sz w:val="24"/>
          <w:szCs w:val="28"/>
        </w:rPr>
        <w:t>相关合同、发票</w:t>
      </w:r>
      <w:r w:rsidRPr="00B51B7C">
        <w:rPr>
          <w:rFonts w:asciiTheme="minorEastAsia" w:hAnsiTheme="minorEastAsia" w:cs="Times New Roman" w:hint="eastAsia"/>
          <w:sz w:val="24"/>
          <w:szCs w:val="28"/>
        </w:rPr>
        <w:t>等单据，测试</w:t>
      </w:r>
      <w:r w:rsidR="00785C23" w:rsidRPr="00B51B7C">
        <w:rPr>
          <w:rFonts w:asciiTheme="minorEastAsia" w:hAnsiTheme="minorEastAsia" w:cs="Times New Roman" w:hint="eastAsia"/>
          <w:sz w:val="24"/>
          <w:szCs w:val="28"/>
        </w:rPr>
        <w:t>资金支付管理及审批</w:t>
      </w:r>
      <w:r w:rsidRPr="00B51B7C">
        <w:rPr>
          <w:rFonts w:asciiTheme="minorEastAsia" w:hAnsiTheme="minorEastAsia" w:cs="Times New Roman" w:hint="eastAsia"/>
          <w:sz w:val="24"/>
          <w:szCs w:val="28"/>
        </w:rPr>
        <w:t>的全流程；</w:t>
      </w:r>
    </w:p>
    <w:p w14:paraId="12B789F9" w14:textId="6C3CA5FF"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（3）针对了解的公司</w:t>
      </w:r>
      <w:r w:rsidR="00785C23" w:rsidRPr="00B51B7C">
        <w:rPr>
          <w:rFonts w:asciiTheme="minorEastAsia" w:hAnsiTheme="minorEastAsia" w:cs="Times New Roman" w:hint="eastAsia"/>
          <w:sz w:val="24"/>
          <w:szCs w:val="28"/>
        </w:rPr>
        <w:t>资金支付管理及审批</w:t>
      </w:r>
      <w:r w:rsidRPr="00B51B7C">
        <w:rPr>
          <w:rFonts w:asciiTheme="minorEastAsia" w:hAnsiTheme="minorEastAsia" w:cs="Times New Roman" w:hint="eastAsia"/>
          <w:sz w:val="24"/>
          <w:szCs w:val="28"/>
        </w:rPr>
        <w:t>业务的控制活动，确定拟进行测试的</w:t>
      </w:r>
      <w:r w:rsidR="00785C23" w:rsidRPr="00B51B7C">
        <w:rPr>
          <w:rFonts w:asciiTheme="minorEastAsia" w:hAnsiTheme="minorEastAsia" w:cs="Times New Roman" w:hint="eastAsia"/>
          <w:sz w:val="24"/>
          <w:szCs w:val="28"/>
        </w:rPr>
        <w:t>关键</w:t>
      </w:r>
      <w:r w:rsidRPr="00B51B7C">
        <w:rPr>
          <w:rFonts w:asciiTheme="minorEastAsia" w:hAnsiTheme="minorEastAsia" w:cs="Times New Roman" w:hint="eastAsia"/>
          <w:sz w:val="24"/>
          <w:szCs w:val="28"/>
        </w:rPr>
        <w:t>控制活动；</w:t>
      </w:r>
    </w:p>
    <w:p w14:paraId="7EBEEBE6" w14:textId="5C244EF5"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（4）对公司</w:t>
      </w:r>
      <w:r w:rsidR="00262E1B" w:rsidRPr="00B51B7C">
        <w:rPr>
          <w:rFonts w:asciiTheme="minorEastAsia" w:hAnsiTheme="minorEastAsia" w:cs="Times New Roman" w:hint="eastAsia"/>
          <w:sz w:val="24"/>
          <w:szCs w:val="28"/>
        </w:rPr>
        <w:t>资金支付管理及审批</w:t>
      </w:r>
      <w:r w:rsidRPr="00B51B7C">
        <w:rPr>
          <w:rFonts w:asciiTheme="minorEastAsia" w:hAnsiTheme="minorEastAsia" w:cs="Times New Roman" w:hint="eastAsia"/>
          <w:sz w:val="24"/>
          <w:szCs w:val="28"/>
        </w:rPr>
        <w:t>业务相关内部控制执行控制测试，获取整改后关键控制点相关资料并抽样进行检查，评价执行的有效性。</w:t>
      </w:r>
    </w:p>
    <w:p w14:paraId="45A8AC75" w14:textId="4901E684" w:rsidR="00725E7F" w:rsidRPr="00B51B7C" w:rsidRDefault="00721A23" w:rsidP="00454458">
      <w:pPr>
        <w:spacing w:line="360" w:lineRule="auto"/>
        <w:ind w:firstLineChars="200" w:firstLine="482"/>
        <w:rPr>
          <w:rFonts w:asciiTheme="minorEastAsia" w:hAnsiTheme="minorEastAsia" w:cs="Times New Roman"/>
          <w:sz w:val="24"/>
          <w:szCs w:val="28"/>
        </w:rPr>
      </w:pPr>
      <w:r w:rsidRPr="00B51B7C">
        <w:rPr>
          <w:rFonts w:asciiTheme="minorEastAsia" w:hAnsiTheme="minorEastAsia" w:cs="Times New Roman" w:hint="eastAsia"/>
          <w:b/>
          <w:sz w:val="24"/>
          <w:szCs w:val="28"/>
          <w:lang w:val="en-GB"/>
        </w:rPr>
        <w:t>2.</w:t>
      </w:r>
      <w:r w:rsidR="00454458" w:rsidRPr="00B51B7C">
        <w:rPr>
          <w:rFonts w:asciiTheme="minorEastAsia" w:hAnsiTheme="minorEastAsia" w:cs="Times New Roman"/>
          <w:sz w:val="24"/>
          <w:szCs w:val="28"/>
        </w:rPr>
        <w:t xml:space="preserve"> </w:t>
      </w:r>
      <w:r w:rsidRPr="00B51B7C">
        <w:rPr>
          <w:rFonts w:asciiTheme="minorEastAsia" w:hAnsiTheme="minorEastAsia" w:cs="Times New Roman" w:hint="eastAsia"/>
          <w:sz w:val="24"/>
          <w:szCs w:val="28"/>
        </w:rPr>
        <w:t>违规担保</w:t>
      </w:r>
    </w:p>
    <w:p w14:paraId="7C49DC8A" w14:textId="47D5DD8F" w:rsidR="00721A23" w:rsidRPr="00B51B7C" w:rsidRDefault="00721A23" w:rsidP="00721A23">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公司违规担保事项相关内部控制程序主要为合同审批及印章管理流程，针对该事项，我们认为该项内部控制运行频率</w:t>
      </w:r>
      <w:r w:rsidR="00530A60" w:rsidRPr="00B51B7C">
        <w:rPr>
          <w:rFonts w:asciiTheme="minorEastAsia" w:hAnsiTheme="minorEastAsia" w:cs="Times New Roman" w:hint="eastAsia"/>
          <w:sz w:val="24"/>
          <w:szCs w:val="28"/>
        </w:rPr>
        <w:t>为</w:t>
      </w:r>
      <w:r w:rsidRPr="00B51B7C">
        <w:rPr>
          <w:rFonts w:asciiTheme="minorEastAsia" w:hAnsiTheme="minorEastAsia" w:cs="Times New Roman" w:hint="eastAsia"/>
          <w:sz w:val="24"/>
          <w:szCs w:val="28"/>
        </w:rPr>
        <w:t>每天多次，整改后控制运行的</w:t>
      </w:r>
      <w:proofErr w:type="gramStart"/>
      <w:r w:rsidRPr="00B51B7C">
        <w:rPr>
          <w:rFonts w:asciiTheme="minorEastAsia" w:hAnsiTheme="minorEastAsia" w:cs="Times New Roman" w:hint="eastAsia"/>
          <w:sz w:val="24"/>
          <w:szCs w:val="28"/>
        </w:rPr>
        <w:t>最</w:t>
      </w:r>
      <w:proofErr w:type="gramEnd"/>
      <w:r w:rsidRPr="00B51B7C">
        <w:rPr>
          <w:rFonts w:asciiTheme="minorEastAsia" w:hAnsiTheme="minorEastAsia" w:cs="Times New Roman" w:hint="eastAsia"/>
          <w:sz w:val="24"/>
          <w:szCs w:val="28"/>
        </w:rPr>
        <w:t>短期间或最少运行次数为 15 天，最少测试数量为 25 次。公司于 2023 年完成对</w:t>
      </w:r>
      <w:r w:rsidR="00EE3071" w:rsidRPr="00B51B7C">
        <w:rPr>
          <w:rFonts w:asciiTheme="minorEastAsia" w:hAnsiTheme="minorEastAsia" w:cs="Times New Roman" w:hint="eastAsia"/>
          <w:sz w:val="24"/>
          <w:szCs w:val="28"/>
        </w:rPr>
        <w:t>相关内部控制</w:t>
      </w:r>
      <w:r w:rsidRPr="00B51B7C">
        <w:rPr>
          <w:rFonts w:asciiTheme="minorEastAsia" w:hAnsiTheme="minorEastAsia" w:cs="Times New Roman" w:hint="eastAsia"/>
          <w:sz w:val="24"/>
          <w:szCs w:val="28"/>
        </w:rPr>
        <w:t>的整改和规范，因此，我们选择整改完成后的所有会计期间即 202</w:t>
      </w:r>
      <w:r w:rsidR="00EE3071" w:rsidRPr="00B51B7C">
        <w:rPr>
          <w:rFonts w:asciiTheme="minorEastAsia" w:hAnsiTheme="minorEastAsia" w:cs="Times New Roman" w:hint="eastAsia"/>
          <w:sz w:val="24"/>
          <w:szCs w:val="28"/>
        </w:rPr>
        <w:t>4</w:t>
      </w:r>
      <w:r w:rsidRPr="00B51B7C">
        <w:rPr>
          <w:rFonts w:asciiTheme="minorEastAsia" w:hAnsiTheme="minorEastAsia" w:cs="Times New Roman" w:hint="eastAsia"/>
          <w:sz w:val="24"/>
          <w:szCs w:val="28"/>
        </w:rPr>
        <w:t xml:space="preserve">年 </w:t>
      </w:r>
      <w:r w:rsidR="00EE3071" w:rsidRPr="00B51B7C">
        <w:rPr>
          <w:rFonts w:asciiTheme="minorEastAsia" w:hAnsiTheme="minorEastAsia" w:cs="Times New Roman" w:hint="eastAsia"/>
          <w:sz w:val="24"/>
          <w:szCs w:val="28"/>
        </w:rPr>
        <w:t>1</w:t>
      </w:r>
      <w:r w:rsidRPr="00B51B7C">
        <w:rPr>
          <w:rFonts w:asciiTheme="minorEastAsia" w:hAnsiTheme="minorEastAsia" w:cs="Times New Roman" w:hint="eastAsia"/>
          <w:sz w:val="24"/>
          <w:szCs w:val="28"/>
        </w:rPr>
        <w:t>-12 月，选取了 25 笔样本进行测试。</w:t>
      </w:r>
    </w:p>
    <w:p w14:paraId="202C4239" w14:textId="77777777"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我们按照中国注册会计师审计准则的要求，设计和执行了相关程序，针对上述问题我们执行的主要程序以及取得的审计证据如下：</w:t>
      </w:r>
    </w:p>
    <w:p w14:paraId="560646A2" w14:textId="77777777"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（1）了解公司与合同审批及印章管理相关的内部控制措施与制度情况，并记录相关控制活动及控制目标，以及受</w:t>
      </w:r>
      <w:proofErr w:type="gramStart"/>
      <w:r w:rsidRPr="00B51B7C">
        <w:rPr>
          <w:rFonts w:asciiTheme="minorEastAsia" w:hAnsiTheme="minorEastAsia" w:cs="Times New Roman" w:hint="eastAsia"/>
          <w:sz w:val="24"/>
          <w:szCs w:val="28"/>
        </w:rPr>
        <w:t>该控制</w:t>
      </w:r>
      <w:proofErr w:type="gramEnd"/>
      <w:r w:rsidRPr="00B51B7C">
        <w:rPr>
          <w:rFonts w:asciiTheme="minorEastAsia" w:hAnsiTheme="minorEastAsia" w:cs="Times New Roman" w:hint="eastAsia"/>
          <w:sz w:val="24"/>
          <w:szCs w:val="28"/>
        </w:rPr>
        <w:t>活动影响的交易类别、账户余额和披露及其认定；了解公司对公司合同签订、</w:t>
      </w:r>
      <w:proofErr w:type="gramStart"/>
      <w:r w:rsidRPr="00B51B7C">
        <w:rPr>
          <w:rFonts w:asciiTheme="minorEastAsia" w:hAnsiTheme="minorEastAsia" w:cs="Times New Roman" w:hint="eastAsia"/>
          <w:sz w:val="24"/>
          <w:szCs w:val="28"/>
        </w:rPr>
        <w:t>用印审批</w:t>
      </w:r>
      <w:proofErr w:type="gramEnd"/>
      <w:r w:rsidRPr="00B51B7C">
        <w:rPr>
          <w:rFonts w:asciiTheme="minorEastAsia" w:hAnsiTheme="minorEastAsia" w:cs="Times New Roman" w:hint="eastAsia"/>
          <w:sz w:val="24"/>
          <w:szCs w:val="28"/>
        </w:rPr>
        <w:t>及登记、印章保管等业务环节的控制制度及执行情况；</w:t>
      </w:r>
    </w:p>
    <w:p w14:paraId="49D09B0E" w14:textId="77777777"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2）结合公司对合同审批及印章管理业务的控制措施，执行穿行测试，评价内部控制的设计是否合理、是否得到执行；检查合同及印章审批单、合同台账、用印登记表等单据，测试合同及印章审批及日常管理的全流程；</w:t>
      </w:r>
    </w:p>
    <w:p w14:paraId="62D938A2" w14:textId="519918E5"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（3）针对了解的公司合同审批及印章管理业务的控制活动，确定拟进行测</w:t>
      </w:r>
      <w:r w:rsidRPr="00B51B7C">
        <w:rPr>
          <w:rFonts w:asciiTheme="minorEastAsia" w:hAnsiTheme="minorEastAsia" w:cs="Times New Roman" w:hint="eastAsia"/>
          <w:sz w:val="24"/>
          <w:szCs w:val="28"/>
        </w:rPr>
        <w:lastRenderedPageBreak/>
        <w:t>试的</w:t>
      </w:r>
      <w:r w:rsidR="00785C23" w:rsidRPr="00B51B7C">
        <w:rPr>
          <w:rFonts w:asciiTheme="minorEastAsia" w:hAnsiTheme="minorEastAsia" w:cs="Times New Roman" w:hint="eastAsia"/>
          <w:sz w:val="24"/>
          <w:szCs w:val="28"/>
        </w:rPr>
        <w:t>关键</w:t>
      </w:r>
      <w:r w:rsidRPr="00B51B7C">
        <w:rPr>
          <w:rFonts w:asciiTheme="minorEastAsia" w:hAnsiTheme="minorEastAsia" w:cs="Times New Roman" w:hint="eastAsia"/>
          <w:sz w:val="24"/>
          <w:szCs w:val="28"/>
        </w:rPr>
        <w:t>控制活动；</w:t>
      </w:r>
    </w:p>
    <w:p w14:paraId="425E82CE" w14:textId="151B6336" w:rsidR="00EE66A5" w:rsidRPr="00B51B7C" w:rsidRDefault="00EE66A5"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（4）对公司合同审批及印章管理业务相关内部控制执行控制测试，获取整改后关键控制点相关资料并抽样进行检查，评价执行的有效性</w:t>
      </w:r>
      <w:r w:rsidR="00262E1B" w:rsidRPr="00B51B7C">
        <w:rPr>
          <w:rFonts w:asciiTheme="minorEastAsia" w:hAnsiTheme="minorEastAsia" w:cs="Times New Roman" w:hint="eastAsia"/>
          <w:sz w:val="24"/>
          <w:szCs w:val="28"/>
        </w:rPr>
        <w:t>。</w:t>
      </w:r>
    </w:p>
    <w:p w14:paraId="260DF492" w14:textId="1B918BA6" w:rsidR="00262E1B" w:rsidRPr="00B51B7C" w:rsidRDefault="00262E1B" w:rsidP="00EE66A5">
      <w:pPr>
        <w:spacing w:line="360" w:lineRule="auto"/>
        <w:ind w:firstLineChars="200" w:firstLine="480"/>
        <w:rPr>
          <w:rFonts w:asciiTheme="minorEastAsia" w:hAnsiTheme="minorEastAsia" w:cs="Times New Roman"/>
          <w:sz w:val="24"/>
          <w:szCs w:val="28"/>
        </w:rPr>
      </w:pPr>
      <w:r w:rsidRPr="00B51B7C">
        <w:rPr>
          <w:rFonts w:asciiTheme="minorEastAsia" w:hAnsiTheme="minorEastAsia" w:cs="Times New Roman" w:hint="eastAsia"/>
          <w:sz w:val="24"/>
          <w:szCs w:val="28"/>
        </w:rPr>
        <w:t>综上，公司整改后控制运行的</w:t>
      </w:r>
      <w:proofErr w:type="gramStart"/>
      <w:r w:rsidRPr="00B51B7C">
        <w:rPr>
          <w:rFonts w:asciiTheme="minorEastAsia" w:hAnsiTheme="minorEastAsia" w:cs="Times New Roman" w:hint="eastAsia"/>
          <w:sz w:val="24"/>
          <w:szCs w:val="28"/>
        </w:rPr>
        <w:t>最</w:t>
      </w:r>
      <w:proofErr w:type="gramEnd"/>
      <w:r w:rsidRPr="00B51B7C">
        <w:rPr>
          <w:rFonts w:asciiTheme="minorEastAsia" w:hAnsiTheme="minorEastAsia" w:cs="Times New Roman" w:hint="eastAsia"/>
          <w:sz w:val="24"/>
          <w:szCs w:val="28"/>
        </w:rPr>
        <w:t>短期间以及最少测试数量满足《企业内部控制审计指引实施意见》的要求，我们执行审计程序的结论是相关内部控制运行有效。</w:t>
      </w:r>
    </w:p>
    <w:p w14:paraId="6FDE8ECF" w14:textId="77777777" w:rsidR="007B2136" w:rsidRPr="00B51B7C" w:rsidRDefault="007B2136" w:rsidP="00C063AB">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（3）请年审机构结合问题（2）回复及内控审计中实施的具体程序、获取的审计证据，说明认定相关内部控制非标意见事项已消除的判断依据，对公司出具的内控审计意见是否合理、恰当。</w:t>
      </w:r>
    </w:p>
    <w:p w14:paraId="591CA074" w14:textId="77777777" w:rsidR="00262E1B" w:rsidRPr="00B51B7C" w:rsidRDefault="00454458" w:rsidP="00F00B80">
      <w:pPr>
        <w:spacing w:line="360" w:lineRule="auto"/>
        <w:ind w:firstLineChars="200" w:firstLine="482"/>
        <w:rPr>
          <w:rFonts w:asciiTheme="minorEastAsia" w:hAnsiTheme="minorEastAsia" w:cs="Times New Roman"/>
          <w:sz w:val="24"/>
          <w:szCs w:val="28"/>
        </w:rPr>
      </w:pPr>
      <w:r w:rsidRPr="00B51B7C">
        <w:rPr>
          <w:rFonts w:asciiTheme="minorEastAsia" w:hAnsiTheme="minorEastAsia" w:cs="Times New Roman" w:hint="eastAsia"/>
          <w:b/>
          <w:sz w:val="24"/>
          <w:szCs w:val="28"/>
          <w:lang w:val="en-GB"/>
        </w:rPr>
        <w:t>会计师回复：</w:t>
      </w:r>
      <w:r w:rsidRPr="00B51B7C">
        <w:rPr>
          <w:rFonts w:asciiTheme="minorEastAsia" w:hAnsiTheme="minorEastAsia" w:cs="Times New Roman"/>
          <w:sz w:val="24"/>
          <w:szCs w:val="28"/>
        </w:rPr>
        <w:t xml:space="preserve"> </w:t>
      </w:r>
    </w:p>
    <w:p w14:paraId="16921B6E" w14:textId="3A0EBC3D" w:rsidR="00262E1B" w:rsidRPr="00B51B7C" w:rsidRDefault="00262E1B"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除问题（</w:t>
      </w:r>
      <w:r w:rsidRPr="00B51B7C">
        <w:rPr>
          <w:rFonts w:asciiTheme="minorEastAsia" w:hAnsiTheme="minorEastAsia" w:cs="Times"/>
          <w:kern w:val="0"/>
          <w:sz w:val="24"/>
          <w:szCs w:val="24"/>
        </w:rPr>
        <w:t>2</w:t>
      </w:r>
      <w:r w:rsidRPr="00B51B7C">
        <w:rPr>
          <w:rFonts w:asciiTheme="minorEastAsia" w:hAnsiTheme="minorEastAsia" w:cs="Times" w:hint="eastAsia"/>
          <w:kern w:val="0"/>
          <w:sz w:val="24"/>
          <w:szCs w:val="24"/>
        </w:rPr>
        <w:t>）</w:t>
      </w:r>
      <w:r w:rsidR="00CC410B" w:rsidRPr="00B51B7C">
        <w:rPr>
          <w:rFonts w:asciiTheme="minorEastAsia" w:hAnsiTheme="minorEastAsia" w:cs="Times" w:hint="eastAsia"/>
          <w:kern w:val="0"/>
          <w:sz w:val="24"/>
          <w:szCs w:val="24"/>
        </w:rPr>
        <w:t>回复中执行的内控审计程序外，我们针对公司2024年对以前年度形成的非经营性资金占用、违规担保事项整改</w:t>
      </w:r>
      <w:r w:rsidR="00CC410B" w:rsidRPr="00B51B7C">
        <w:rPr>
          <w:rFonts w:asciiTheme="minorEastAsia" w:hAnsiTheme="minorEastAsia" w:cs="Times New Roman" w:hint="eastAsia"/>
          <w:sz w:val="24"/>
          <w:szCs w:val="28"/>
        </w:rPr>
        <w:t>执行的审计程序及获取的审计证据如下：</w:t>
      </w:r>
    </w:p>
    <w:p w14:paraId="3826D0CA" w14:textId="4A5C4599"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（1）获取并检查公司与相关债权人签署的代为履行协议</w:t>
      </w:r>
      <w:r w:rsidR="00764FE5" w:rsidRPr="00B51B7C">
        <w:rPr>
          <w:rFonts w:asciiTheme="minorEastAsia" w:hAnsiTheme="minorEastAsia" w:cs="Times" w:hint="eastAsia"/>
          <w:kern w:val="0"/>
          <w:sz w:val="24"/>
          <w:szCs w:val="24"/>
        </w:rPr>
        <w:t>、</w:t>
      </w:r>
      <w:r w:rsidRPr="00B51B7C">
        <w:rPr>
          <w:rFonts w:asciiTheme="minorEastAsia" w:hAnsiTheme="minorEastAsia" w:cs="Times" w:hint="eastAsia"/>
          <w:kern w:val="0"/>
          <w:sz w:val="24"/>
          <w:szCs w:val="24"/>
        </w:rPr>
        <w:t>豁免确认函，确认豁免生效日期；</w:t>
      </w:r>
    </w:p>
    <w:p w14:paraId="4424AE2C" w14:textId="77777777"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（2）获取并检查公司与财务投资人签署的重整投资协议，检查财务投资人捐赠银行回单，确认资金划转日期及金额；</w:t>
      </w:r>
    </w:p>
    <w:p w14:paraId="4E3AB130" w14:textId="77777777"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w:t>
      </w:r>
      <w:r w:rsidRPr="00B51B7C">
        <w:rPr>
          <w:rFonts w:asciiTheme="minorEastAsia" w:hAnsiTheme="minorEastAsia" w:cs="Times"/>
          <w:kern w:val="0"/>
          <w:sz w:val="24"/>
          <w:szCs w:val="24"/>
        </w:rPr>
        <w:t xml:space="preserve"> </w:t>
      </w:r>
      <w:r w:rsidRPr="00B51B7C">
        <w:rPr>
          <w:rFonts w:asciiTheme="minorEastAsia" w:hAnsiTheme="minorEastAsia" w:cs="Times" w:hint="eastAsia"/>
          <w:kern w:val="0"/>
          <w:sz w:val="24"/>
          <w:szCs w:val="24"/>
        </w:rPr>
        <w:t>获取并检查公司与产业投资人签署的重整投资协议，确认与解决违规担保问题相关的协议约定及协议生效日期；</w:t>
      </w:r>
    </w:p>
    <w:p w14:paraId="3CAC6B29" w14:textId="50E6D952"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（4）获取并检查容诚会计师事务所（特殊普通合伙）出具</w:t>
      </w:r>
      <w:r w:rsidR="00764FE5" w:rsidRPr="00B51B7C">
        <w:rPr>
          <w:rFonts w:asciiTheme="minorEastAsia" w:hAnsiTheme="minorEastAsia" w:cs="Times" w:hint="eastAsia"/>
          <w:kern w:val="0"/>
          <w:sz w:val="24"/>
          <w:szCs w:val="24"/>
        </w:rPr>
        <w:t>的</w:t>
      </w:r>
      <w:r w:rsidRPr="00B51B7C">
        <w:rPr>
          <w:rFonts w:asciiTheme="minorEastAsia" w:hAnsiTheme="minorEastAsia" w:cs="Times" w:hint="eastAsia"/>
          <w:kern w:val="0"/>
          <w:sz w:val="24"/>
          <w:szCs w:val="24"/>
        </w:rPr>
        <w:t>《关于江苏中利集团股份有限公司大股东及其附属企业非经营性资金占用清偿情况的专项说明》；</w:t>
      </w:r>
    </w:p>
    <w:p w14:paraId="3D97CCE0" w14:textId="2F663C7C"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（5）获取并检查上海加宁律师事务所出具的《关于江苏中利集团股份有限公司相关事项之法律意见书》；</w:t>
      </w:r>
    </w:p>
    <w:p w14:paraId="13EF5A1E" w14:textId="4BFE814D"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（6）由审计人员监督企业财务人员登录</w:t>
      </w:r>
      <w:proofErr w:type="gramStart"/>
      <w:r w:rsidRPr="00B51B7C">
        <w:rPr>
          <w:rFonts w:asciiTheme="minorEastAsia" w:hAnsiTheme="minorEastAsia" w:cs="Times" w:hint="eastAsia"/>
          <w:kern w:val="0"/>
          <w:sz w:val="24"/>
          <w:szCs w:val="24"/>
        </w:rPr>
        <w:t>中国人民银行征信中心官网或</w:t>
      </w:r>
      <w:proofErr w:type="gramEnd"/>
      <w:r w:rsidRPr="00B51B7C">
        <w:rPr>
          <w:rFonts w:asciiTheme="minorEastAsia" w:hAnsiTheme="minorEastAsia" w:cs="Times" w:hint="eastAsia"/>
          <w:kern w:val="0"/>
          <w:sz w:val="24"/>
          <w:szCs w:val="24"/>
        </w:rPr>
        <w:t>基本户开户</w:t>
      </w:r>
      <w:proofErr w:type="gramStart"/>
      <w:r w:rsidRPr="00B51B7C">
        <w:rPr>
          <w:rFonts w:asciiTheme="minorEastAsia" w:hAnsiTheme="minorEastAsia" w:cs="Times" w:hint="eastAsia"/>
          <w:kern w:val="0"/>
          <w:sz w:val="24"/>
          <w:szCs w:val="24"/>
        </w:rPr>
        <w:t>行网银</w:t>
      </w:r>
      <w:proofErr w:type="gramEnd"/>
      <w:r w:rsidRPr="00B51B7C">
        <w:rPr>
          <w:rFonts w:asciiTheme="minorEastAsia" w:hAnsiTheme="minorEastAsia" w:cs="Times" w:hint="eastAsia"/>
          <w:kern w:val="0"/>
          <w:sz w:val="24"/>
          <w:szCs w:val="24"/>
        </w:rPr>
        <w:t>查询下载电子版信用报告并进行核查，核查是否有为控股股东及其关联方、及其他单位提供担保的情况；</w:t>
      </w:r>
    </w:p>
    <w:p w14:paraId="2A568A44" w14:textId="01575010"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（7）查询2023年度报告披露的关联方清单，并向管理层索取最新的关联方清单与银行大额流水客商进行比对，核查大额资金流向客商是否包含控股股东及</w:t>
      </w:r>
      <w:r w:rsidRPr="00B51B7C">
        <w:rPr>
          <w:rFonts w:asciiTheme="minorEastAsia" w:hAnsiTheme="minorEastAsia" w:cs="Times" w:hint="eastAsia"/>
          <w:kern w:val="0"/>
          <w:sz w:val="24"/>
          <w:szCs w:val="24"/>
        </w:rPr>
        <w:lastRenderedPageBreak/>
        <w:t>其关联方；</w:t>
      </w:r>
    </w:p>
    <w:p w14:paraId="61DE30D1" w14:textId="1A455FAB" w:rsidR="00F00B80" w:rsidRPr="00B51B7C" w:rsidRDefault="00F00B80"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（8）结合预付账款、其他应收款、应收账款等债权类科目的审计，关注往来形成的合理性，判断评价是否存在隐性关联方交易及关联余额。</w:t>
      </w:r>
    </w:p>
    <w:p w14:paraId="2E88EB78" w14:textId="432BF75B" w:rsidR="00610D94" w:rsidRPr="00B51B7C" w:rsidRDefault="00610D94" w:rsidP="00F00B80">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经核查，会计师认为：公司已通过重整计划全部解决了前期非经营性占用资金占用和违规担保事项，2024年度未发生新的非经营性占用资金占用和违规担保事项</w:t>
      </w:r>
      <w:r w:rsidR="00EA0097" w:rsidRPr="00B51B7C">
        <w:rPr>
          <w:rFonts w:asciiTheme="minorEastAsia" w:hAnsiTheme="minorEastAsia" w:cs="Times" w:hint="eastAsia"/>
          <w:kern w:val="0"/>
          <w:sz w:val="24"/>
          <w:szCs w:val="24"/>
        </w:rPr>
        <w:t>，相关内部控制运行</w:t>
      </w:r>
      <w:r w:rsidR="00CC410B" w:rsidRPr="00B51B7C">
        <w:rPr>
          <w:rFonts w:asciiTheme="minorEastAsia" w:hAnsiTheme="minorEastAsia" w:cs="Times" w:hint="eastAsia"/>
          <w:kern w:val="0"/>
          <w:sz w:val="24"/>
          <w:szCs w:val="24"/>
        </w:rPr>
        <w:t>有效</w:t>
      </w:r>
      <w:r w:rsidR="00EA0097" w:rsidRPr="00B51B7C">
        <w:rPr>
          <w:rFonts w:asciiTheme="minorEastAsia" w:hAnsiTheme="minorEastAsia" w:cs="Times" w:hint="eastAsia"/>
          <w:kern w:val="0"/>
          <w:sz w:val="24"/>
          <w:szCs w:val="24"/>
        </w:rPr>
        <w:t>，我们对公司出具的内控审计意见是合理、恰当的。</w:t>
      </w:r>
    </w:p>
    <w:p w14:paraId="03768C0D" w14:textId="77777777" w:rsidR="00C70709" w:rsidRPr="00B51B7C" w:rsidRDefault="00C70709" w:rsidP="003F5258">
      <w:pPr>
        <w:keepNext/>
        <w:keepLines/>
        <w:spacing w:line="360" w:lineRule="auto"/>
        <w:ind w:firstLineChars="200" w:firstLine="482"/>
        <w:outlineLvl w:val="1"/>
        <w:rPr>
          <w:rFonts w:asciiTheme="minorEastAsia" w:hAnsiTheme="minorEastAsia" w:cs="Times New Roman"/>
          <w:b/>
          <w:bCs/>
          <w:sz w:val="24"/>
          <w:szCs w:val="24"/>
        </w:rPr>
      </w:pPr>
      <w:r w:rsidRPr="00B51B7C">
        <w:rPr>
          <w:rFonts w:asciiTheme="minorEastAsia" w:hAnsiTheme="minorEastAsia" w:cs="Times New Roman" w:hint="eastAsia"/>
          <w:b/>
          <w:bCs/>
          <w:sz w:val="24"/>
          <w:szCs w:val="24"/>
        </w:rPr>
        <w:t>问题3.</w:t>
      </w:r>
    </w:p>
    <w:p w14:paraId="42404BC9" w14:textId="025B4BC6" w:rsidR="00C70709" w:rsidRPr="00B51B7C" w:rsidRDefault="00C70709" w:rsidP="00C70709">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你公司2023年度财务报表被出具</w:t>
      </w:r>
      <w:proofErr w:type="gramStart"/>
      <w:r w:rsidRPr="00B51B7C">
        <w:rPr>
          <w:rFonts w:asciiTheme="minorEastAsia" w:hAnsiTheme="minorEastAsia" w:cs="Times" w:hint="eastAsia"/>
          <w:b/>
          <w:bCs/>
          <w:kern w:val="0"/>
          <w:sz w:val="24"/>
          <w:szCs w:val="24"/>
        </w:rPr>
        <w:t>带强调</w:t>
      </w:r>
      <w:proofErr w:type="gramEnd"/>
      <w:r w:rsidRPr="00B51B7C">
        <w:rPr>
          <w:rFonts w:asciiTheme="minorEastAsia" w:hAnsiTheme="minorEastAsia" w:cs="Times" w:hint="eastAsia"/>
          <w:b/>
          <w:bCs/>
          <w:kern w:val="0"/>
          <w:sz w:val="24"/>
          <w:szCs w:val="24"/>
        </w:rPr>
        <w:t>事项段的无保留意见的审计报告，所涉事项为与持续经营相关的重大不确定性、关联方资金占用及违规担保事项。根据审计机构《关于公司2023年度审计报告带持续经营相关的重大不确定性与强调事项段的无保留意见涉及事项影响消除情况的审核报告》（以下简称“《专项报告》”），报告期内公司通过重整引入资金、解决占用担保事项等措施，相关非标意见影响已消除。年审机构对你公司2024年财务会计报告出具标准无保留的审计意见，2024年末净资产为14.2亿元，你公司向本所申请撤销退</w:t>
      </w:r>
      <w:proofErr w:type="gramStart"/>
      <w:r w:rsidRPr="00B51B7C">
        <w:rPr>
          <w:rFonts w:asciiTheme="minorEastAsia" w:hAnsiTheme="minorEastAsia" w:cs="Times" w:hint="eastAsia"/>
          <w:b/>
          <w:bCs/>
          <w:kern w:val="0"/>
          <w:sz w:val="24"/>
          <w:szCs w:val="24"/>
        </w:rPr>
        <w:t>市风险</w:t>
      </w:r>
      <w:proofErr w:type="gramEnd"/>
      <w:r w:rsidRPr="00B51B7C">
        <w:rPr>
          <w:rFonts w:asciiTheme="minorEastAsia" w:hAnsiTheme="minorEastAsia" w:cs="Times" w:hint="eastAsia"/>
          <w:b/>
          <w:bCs/>
          <w:kern w:val="0"/>
          <w:sz w:val="24"/>
          <w:szCs w:val="24"/>
        </w:rPr>
        <w:t>警示。请你公司：</w:t>
      </w:r>
    </w:p>
    <w:p w14:paraId="63817F42" w14:textId="743DCB08" w:rsidR="00454458" w:rsidRPr="00B51B7C" w:rsidRDefault="00C70709" w:rsidP="00454458">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1）请年审机构逐项说明对上期非标意见涉及事项执行的审计程序、获取的审计证据、得出“非标意见涉及事项影响已消除”结论的具体判断过程及依据，并在前述问题的基础上说明报告期对公司出具的审计意见及《专项报告》结论是否审慎、合理。</w:t>
      </w:r>
    </w:p>
    <w:p w14:paraId="59D22D19" w14:textId="3E25951B" w:rsidR="00694E4C" w:rsidRPr="00B51B7C" w:rsidRDefault="00454458" w:rsidP="00694E4C">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会计师回复：</w:t>
      </w:r>
      <w:r w:rsidR="00DF5D79" w:rsidRPr="00B51B7C">
        <w:rPr>
          <w:rFonts w:asciiTheme="minorEastAsia" w:hAnsiTheme="minorEastAsia" w:cs="Times"/>
          <w:b/>
          <w:bCs/>
          <w:kern w:val="0"/>
          <w:sz w:val="24"/>
          <w:szCs w:val="24"/>
        </w:rPr>
        <w:t xml:space="preserve"> </w:t>
      </w:r>
    </w:p>
    <w:p w14:paraId="7C19ED80" w14:textId="2C2235C8" w:rsidR="00694E4C" w:rsidRPr="00B51B7C" w:rsidRDefault="00873B9D" w:rsidP="00873B9D">
      <w:pPr>
        <w:spacing w:line="360" w:lineRule="auto"/>
        <w:ind w:firstLineChars="200" w:firstLine="482"/>
        <w:rPr>
          <w:rFonts w:asciiTheme="minorEastAsia" w:hAnsiTheme="minorEastAsia" w:cs="Times"/>
          <w:b/>
          <w:bCs/>
          <w:kern w:val="0"/>
          <w:sz w:val="24"/>
        </w:rPr>
      </w:pPr>
      <w:proofErr w:type="gramStart"/>
      <w:r w:rsidRPr="00B51B7C">
        <w:rPr>
          <w:rFonts w:asciiTheme="minorEastAsia" w:hAnsiTheme="minorEastAsia" w:cs="Times" w:hint="eastAsia"/>
          <w:b/>
          <w:bCs/>
          <w:kern w:val="0"/>
          <w:sz w:val="24"/>
        </w:rPr>
        <w:t>一</w:t>
      </w:r>
      <w:proofErr w:type="gramEnd"/>
      <w:r w:rsidRPr="00B51B7C">
        <w:rPr>
          <w:rFonts w:asciiTheme="minorEastAsia" w:hAnsiTheme="minorEastAsia" w:cs="Times" w:hint="eastAsia"/>
          <w:b/>
          <w:bCs/>
          <w:kern w:val="0"/>
          <w:sz w:val="24"/>
        </w:rPr>
        <w:t>.</w:t>
      </w:r>
      <w:r w:rsidR="00694E4C" w:rsidRPr="00B51B7C">
        <w:rPr>
          <w:rFonts w:asciiTheme="minorEastAsia" w:hAnsiTheme="minorEastAsia" w:cs="Times" w:hint="eastAsia"/>
          <w:b/>
          <w:bCs/>
          <w:kern w:val="0"/>
          <w:sz w:val="24"/>
        </w:rPr>
        <w:t>与持续经营相关的重大不确定性：</w:t>
      </w:r>
    </w:p>
    <w:p w14:paraId="1A12DBAF" w14:textId="217EF713" w:rsidR="00755CA7" w:rsidRPr="00B51B7C" w:rsidRDefault="00755CA7" w:rsidP="00CD2FB2">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00CD2FB2" w:rsidRPr="00B51B7C">
        <w:rPr>
          <w:rFonts w:asciiTheme="minorEastAsia" w:hAnsiTheme="minorEastAsia" w:cs="Times" w:hint="eastAsia"/>
          <w:kern w:val="0"/>
          <w:sz w:val="24"/>
          <w:szCs w:val="24"/>
        </w:rPr>
        <w:t xml:space="preserve"> 与持续经营相关的重大不确定性影响已消除的具体判断过程如下：</w:t>
      </w:r>
    </w:p>
    <w:p w14:paraId="53C1097B" w14:textId="674AECA5" w:rsidR="00DF5D79" w:rsidRPr="00B51B7C" w:rsidRDefault="00DF5D79" w:rsidP="00DF5D7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764FE5" w:rsidRPr="00B51B7C">
        <w:rPr>
          <w:rFonts w:asciiTheme="minorEastAsia" w:hAnsiTheme="minorEastAsia" w:cs="Times"/>
          <w:kern w:val="0"/>
          <w:sz w:val="24"/>
          <w:szCs w:val="24"/>
        </w:rPr>
        <w:t>1</w:t>
      </w:r>
      <w:r w:rsidRPr="00B51B7C">
        <w:rPr>
          <w:rFonts w:asciiTheme="minorEastAsia" w:hAnsiTheme="minorEastAsia" w:cs="Times" w:hint="eastAsia"/>
          <w:kern w:val="0"/>
          <w:sz w:val="24"/>
          <w:szCs w:val="24"/>
        </w:rPr>
        <w:t>）通过破产重整程序，公司的部分债务得以消除，</w:t>
      </w:r>
      <w:r w:rsidRPr="00B51B7C">
        <w:rPr>
          <w:rFonts w:asciiTheme="minorEastAsia" w:hAnsiTheme="minorEastAsia" w:cs="Times"/>
          <w:kern w:val="0"/>
          <w:sz w:val="24"/>
          <w:szCs w:val="24"/>
        </w:rPr>
        <w:t xml:space="preserve"> </w:t>
      </w:r>
      <w:r w:rsidRPr="00B51B7C">
        <w:rPr>
          <w:rFonts w:asciiTheme="minorEastAsia" w:hAnsiTheme="minorEastAsia" w:cs="Times" w:hint="eastAsia"/>
          <w:kern w:val="0"/>
          <w:sz w:val="24"/>
          <w:szCs w:val="24"/>
        </w:rPr>
        <w:t>资产负债率</w:t>
      </w:r>
      <w:r w:rsidR="00324E8C" w:rsidRPr="00B51B7C">
        <w:rPr>
          <w:rFonts w:asciiTheme="minorEastAsia" w:hAnsiTheme="minorEastAsia" w:cs="Times"/>
          <w:kern w:val="0"/>
          <w:sz w:val="24"/>
          <w:szCs w:val="24"/>
        </w:rPr>
        <w:t>2023</w:t>
      </w:r>
      <w:r w:rsidR="00324E8C" w:rsidRPr="00B51B7C">
        <w:rPr>
          <w:rFonts w:asciiTheme="minorEastAsia" w:hAnsiTheme="minorEastAsia" w:cs="Times" w:hint="eastAsia"/>
          <w:kern w:val="0"/>
          <w:sz w:val="24"/>
          <w:szCs w:val="24"/>
        </w:rPr>
        <w:t>年末为</w:t>
      </w:r>
      <w:r w:rsidR="00324E8C" w:rsidRPr="00B51B7C">
        <w:rPr>
          <w:rFonts w:asciiTheme="minorEastAsia" w:hAnsiTheme="minorEastAsia" w:cs="Times"/>
          <w:kern w:val="0"/>
          <w:sz w:val="24"/>
          <w:szCs w:val="24"/>
        </w:rPr>
        <w:t>107.32</w:t>
      </w:r>
      <w:r w:rsidRPr="00B51B7C">
        <w:rPr>
          <w:rFonts w:asciiTheme="minorEastAsia" w:hAnsiTheme="minorEastAsia" w:cs="Times"/>
          <w:kern w:val="0"/>
          <w:sz w:val="24"/>
          <w:szCs w:val="24"/>
        </w:rPr>
        <w:t>%</w:t>
      </w:r>
      <w:r w:rsidR="00324E8C" w:rsidRPr="00B51B7C">
        <w:rPr>
          <w:rFonts w:asciiTheme="minorEastAsia" w:hAnsiTheme="minorEastAsia" w:cs="Times" w:hint="eastAsia"/>
          <w:kern w:val="0"/>
          <w:sz w:val="24"/>
          <w:szCs w:val="24"/>
        </w:rPr>
        <w:t>、</w:t>
      </w:r>
      <w:r w:rsidR="00324E8C" w:rsidRPr="00B51B7C">
        <w:rPr>
          <w:rFonts w:asciiTheme="minorEastAsia" w:hAnsiTheme="minorEastAsia" w:cs="Times"/>
          <w:kern w:val="0"/>
          <w:sz w:val="24"/>
          <w:szCs w:val="24"/>
        </w:rPr>
        <w:t>2024</w:t>
      </w:r>
      <w:r w:rsidR="00324E8C" w:rsidRPr="00B51B7C">
        <w:rPr>
          <w:rFonts w:asciiTheme="minorEastAsia" w:hAnsiTheme="minorEastAsia" w:cs="Times" w:hint="eastAsia"/>
          <w:kern w:val="0"/>
          <w:sz w:val="24"/>
          <w:szCs w:val="24"/>
        </w:rPr>
        <w:t>年末为</w:t>
      </w:r>
      <w:r w:rsidR="00324E8C" w:rsidRPr="00B51B7C">
        <w:rPr>
          <w:rFonts w:asciiTheme="minorEastAsia" w:hAnsiTheme="minorEastAsia" w:cs="Times"/>
          <w:kern w:val="0"/>
          <w:sz w:val="24"/>
          <w:szCs w:val="24"/>
        </w:rPr>
        <w:t>74.44%</w:t>
      </w:r>
      <w:r w:rsidR="00324E8C" w:rsidRPr="00B51B7C">
        <w:rPr>
          <w:rFonts w:asciiTheme="minorEastAsia" w:hAnsiTheme="minorEastAsia" w:cs="Times" w:hint="eastAsia"/>
          <w:kern w:val="0"/>
          <w:sz w:val="24"/>
          <w:szCs w:val="24"/>
        </w:rPr>
        <w:t>，</w:t>
      </w:r>
      <w:r w:rsidR="00324E8C" w:rsidRPr="00B51B7C">
        <w:rPr>
          <w:rFonts w:asciiTheme="minorEastAsia" w:hAnsiTheme="minorEastAsia" w:cs="Times"/>
          <w:kern w:val="0"/>
          <w:sz w:val="24"/>
          <w:szCs w:val="24"/>
        </w:rPr>
        <w:t>2025</w:t>
      </w:r>
      <w:r w:rsidR="00324E8C" w:rsidRPr="00B51B7C">
        <w:rPr>
          <w:rFonts w:asciiTheme="minorEastAsia" w:hAnsiTheme="minorEastAsia" w:cs="Times" w:hint="eastAsia"/>
          <w:kern w:val="0"/>
          <w:sz w:val="24"/>
          <w:szCs w:val="24"/>
        </w:rPr>
        <w:t>年一季度末为</w:t>
      </w:r>
      <w:r w:rsidR="00324E8C" w:rsidRPr="00B51B7C">
        <w:rPr>
          <w:rFonts w:asciiTheme="minorEastAsia" w:hAnsiTheme="minorEastAsia" w:cs="Times"/>
          <w:kern w:val="0"/>
          <w:sz w:val="24"/>
          <w:szCs w:val="24"/>
        </w:rPr>
        <w:t>67.70%</w:t>
      </w:r>
      <w:r w:rsidR="00324E8C" w:rsidRPr="00B51B7C">
        <w:rPr>
          <w:rFonts w:asciiTheme="minorEastAsia" w:hAnsiTheme="minorEastAsia" w:cs="Times" w:hint="eastAsia"/>
          <w:kern w:val="0"/>
          <w:sz w:val="24"/>
          <w:szCs w:val="24"/>
        </w:rPr>
        <w:t>，</w:t>
      </w:r>
      <w:r w:rsidRPr="00B51B7C">
        <w:rPr>
          <w:rFonts w:asciiTheme="minorEastAsia" w:hAnsiTheme="minorEastAsia" w:cs="Times" w:hint="eastAsia"/>
          <w:kern w:val="0"/>
          <w:sz w:val="24"/>
          <w:szCs w:val="24"/>
        </w:rPr>
        <w:t>资产负债结构得到显著改善；</w:t>
      </w:r>
    </w:p>
    <w:p w14:paraId="23A6092C" w14:textId="1E785CDF" w:rsidR="00764FE5" w:rsidRPr="00B51B7C" w:rsidRDefault="00764FE5" w:rsidP="00324E8C">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Pr="00B51B7C">
        <w:rPr>
          <w:rFonts w:asciiTheme="minorEastAsia" w:hAnsiTheme="minorEastAsia" w:cs="Times"/>
          <w:kern w:val="0"/>
          <w:sz w:val="24"/>
          <w:szCs w:val="24"/>
        </w:rPr>
        <w:t>2</w:t>
      </w:r>
      <w:r w:rsidRPr="00B51B7C">
        <w:rPr>
          <w:rFonts w:asciiTheme="minorEastAsia" w:hAnsiTheme="minorEastAsia" w:cs="Times" w:hint="eastAsia"/>
          <w:kern w:val="0"/>
          <w:sz w:val="24"/>
          <w:szCs w:val="24"/>
        </w:rPr>
        <w:t>）公司</w:t>
      </w:r>
      <w:r w:rsidRPr="00B51B7C">
        <w:rPr>
          <w:rFonts w:asciiTheme="minorEastAsia" w:hAnsiTheme="minorEastAsia" w:cs="Times"/>
          <w:kern w:val="0"/>
          <w:sz w:val="24"/>
          <w:szCs w:val="24"/>
        </w:rPr>
        <w:t xml:space="preserve">2025 </w:t>
      </w:r>
      <w:r w:rsidRPr="00B51B7C">
        <w:rPr>
          <w:rFonts w:asciiTheme="minorEastAsia" w:hAnsiTheme="minorEastAsia" w:cs="Times" w:hint="eastAsia"/>
          <w:kern w:val="0"/>
          <w:sz w:val="24"/>
          <w:szCs w:val="24"/>
        </w:rPr>
        <w:t>年一季度实现</w:t>
      </w:r>
      <w:proofErr w:type="gramStart"/>
      <w:r w:rsidRPr="00B51B7C">
        <w:rPr>
          <w:rFonts w:asciiTheme="minorEastAsia" w:hAnsiTheme="minorEastAsia" w:cs="Times" w:hint="eastAsia"/>
          <w:kern w:val="0"/>
          <w:sz w:val="24"/>
          <w:szCs w:val="24"/>
        </w:rPr>
        <w:t>归母净利润</w:t>
      </w:r>
      <w:proofErr w:type="gramEnd"/>
      <w:r w:rsidRPr="00B51B7C">
        <w:rPr>
          <w:rFonts w:asciiTheme="minorEastAsia" w:hAnsiTheme="minorEastAsia" w:cs="Times"/>
          <w:kern w:val="0"/>
          <w:sz w:val="24"/>
          <w:szCs w:val="24"/>
        </w:rPr>
        <w:t>-7,700.76</w:t>
      </w:r>
      <w:r w:rsidRPr="00B51B7C">
        <w:rPr>
          <w:rFonts w:asciiTheme="minorEastAsia" w:hAnsiTheme="minorEastAsia" w:cs="Times" w:hint="eastAsia"/>
          <w:kern w:val="0"/>
          <w:sz w:val="24"/>
          <w:szCs w:val="24"/>
        </w:rPr>
        <w:t>万元，与</w:t>
      </w:r>
      <w:r w:rsidRPr="00B51B7C">
        <w:rPr>
          <w:rFonts w:asciiTheme="minorEastAsia" w:hAnsiTheme="minorEastAsia" w:cs="Times"/>
          <w:kern w:val="0"/>
          <w:sz w:val="24"/>
          <w:szCs w:val="24"/>
        </w:rPr>
        <w:t xml:space="preserve"> 202</w:t>
      </w:r>
      <w:r w:rsidR="00E80630" w:rsidRPr="00B51B7C">
        <w:rPr>
          <w:rFonts w:asciiTheme="minorEastAsia" w:hAnsiTheme="minorEastAsia" w:cs="Times" w:hint="eastAsia"/>
          <w:kern w:val="0"/>
          <w:sz w:val="24"/>
          <w:szCs w:val="24"/>
        </w:rPr>
        <w:t>4</w:t>
      </w:r>
      <w:r w:rsidRPr="00B51B7C">
        <w:rPr>
          <w:rFonts w:asciiTheme="minorEastAsia" w:hAnsiTheme="minorEastAsia" w:cs="Times"/>
          <w:kern w:val="0"/>
          <w:sz w:val="24"/>
          <w:szCs w:val="24"/>
        </w:rPr>
        <w:t xml:space="preserve"> </w:t>
      </w:r>
      <w:r w:rsidRPr="00B51B7C">
        <w:rPr>
          <w:rFonts w:asciiTheme="minorEastAsia" w:hAnsiTheme="minorEastAsia" w:cs="Times" w:hint="eastAsia"/>
          <w:kern w:val="0"/>
          <w:sz w:val="24"/>
          <w:szCs w:val="24"/>
        </w:rPr>
        <w:t>年一季度净利润</w:t>
      </w:r>
      <w:r w:rsidRPr="00B51B7C">
        <w:rPr>
          <w:rFonts w:asciiTheme="minorEastAsia" w:hAnsiTheme="minorEastAsia" w:cs="Times"/>
          <w:kern w:val="0"/>
          <w:sz w:val="24"/>
          <w:szCs w:val="24"/>
        </w:rPr>
        <w:t>-18,687.15</w:t>
      </w:r>
      <w:r w:rsidRPr="00B51B7C">
        <w:rPr>
          <w:rFonts w:asciiTheme="minorEastAsia" w:hAnsiTheme="minorEastAsia" w:cs="Times" w:hint="eastAsia"/>
          <w:kern w:val="0"/>
          <w:sz w:val="24"/>
          <w:szCs w:val="24"/>
        </w:rPr>
        <w:t>万元相比，亏损大幅度收窄，公司经营正在有序恢复。</w:t>
      </w:r>
    </w:p>
    <w:p w14:paraId="1AD2B7C8" w14:textId="40655D58" w:rsidR="00DF5D79" w:rsidRPr="00B51B7C" w:rsidRDefault="00DF5D79" w:rsidP="00324E8C">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764FE5" w:rsidRPr="00B51B7C">
        <w:rPr>
          <w:rFonts w:asciiTheme="minorEastAsia" w:hAnsiTheme="minorEastAsia" w:cs="Times"/>
          <w:kern w:val="0"/>
          <w:sz w:val="24"/>
          <w:szCs w:val="24"/>
        </w:rPr>
        <w:t>3</w:t>
      </w:r>
      <w:r w:rsidRPr="00B51B7C">
        <w:rPr>
          <w:rFonts w:asciiTheme="minorEastAsia" w:hAnsiTheme="minorEastAsia" w:cs="Times" w:hint="eastAsia"/>
          <w:kern w:val="0"/>
          <w:sz w:val="24"/>
          <w:szCs w:val="24"/>
        </w:rPr>
        <w:t>）</w:t>
      </w:r>
      <w:r w:rsidR="00B75DA1" w:rsidRPr="00B51B7C">
        <w:rPr>
          <w:rFonts w:asciiTheme="minorEastAsia" w:hAnsiTheme="minorEastAsia" w:cs="Times"/>
          <w:kern w:val="0"/>
          <w:sz w:val="24"/>
          <w:szCs w:val="24"/>
        </w:rPr>
        <w:t>2024</w:t>
      </w:r>
      <w:r w:rsidR="00B75DA1" w:rsidRPr="00B51B7C">
        <w:rPr>
          <w:rFonts w:asciiTheme="minorEastAsia" w:hAnsiTheme="minorEastAsia" w:cs="Times" w:hint="eastAsia"/>
          <w:kern w:val="0"/>
          <w:sz w:val="24"/>
          <w:szCs w:val="24"/>
        </w:rPr>
        <w:t>年末、</w:t>
      </w:r>
      <w:r w:rsidRPr="00B51B7C">
        <w:rPr>
          <w:rFonts w:asciiTheme="minorEastAsia" w:hAnsiTheme="minorEastAsia" w:cs="Times"/>
          <w:kern w:val="0"/>
          <w:sz w:val="24"/>
          <w:szCs w:val="24"/>
        </w:rPr>
        <w:t>2025</w:t>
      </w:r>
      <w:r w:rsidRPr="00B51B7C">
        <w:rPr>
          <w:rFonts w:asciiTheme="minorEastAsia" w:hAnsiTheme="minorEastAsia" w:cs="Times" w:hint="eastAsia"/>
          <w:kern w:val="0"/>
          <w:sz w:val="24"/>
          <w:szCs w:val="24"/>
        </w:rPr>
        <w:t>年一季度末现金及现金等价物余额</w:t>
      </w:r>
      <w:r w:rsidR="00B75DA1" w:rsidRPr="00B51B7C">
        <w:rPr>
          <w:rFonts w:asciiTheme="minorEastAsia" w:hAnsiTheme="minorEastAsia" w:cs="Times" w:hint="eastAsia"/>
          <w:kern w:val="0"/>
          <w:sz w:val="24"/>
          <w:szCs w:val="24"/>
        </w:rPr>
        <w:t>分别</w:t>
      </w:r>
      <w:r w:rsidR="00324E8C" w:rsidRPr="00B51B7C">
        <w:rPr>
          <w:rFonts w:asciiTheme="minorEastAsia" w:hAnsiTheme="minorEastAsia" w:cs="Times" w:hint="eastAsia"/>
          <w:kern w:val="0"/>
          <w:sz w:val="24"/>
          <w:szCs w:val="24"/>
        </w:rPr>
        <w:t>为</w:t>
      </w:r>
      <w:r w:rsidR="001540A8" w:rsidRPr="00B51B7C">
        <w:rPr>
          <w:rFonts w:asciiTheme="minorEastAsia" w:hAnsiTheme="minorEastAsia" w:cs="Times"/>
          <w:kern w:val="0"/>
          <w:sz w:val="24"/>
          <w:szCs w:val="24"/>
        </w:rPr>
        <w:t xml:space="preserve">12,337.94 </w:t>
      </w:r>
      <w:r w:rsidR="001540A8" w:rsidRPr="00B51B7C">
        <w:rPr>
          <w:rFonts w:asciiTheme="minorEastAsia" w:hAnsiTheme="minorEastAsia" w:cs="Times" w:hint="eastAsia"/>
          <w:kern w:val="0"/>
          <w:sz w:val="24"/>
          <w:szCs w:val="24"/>
        </w:rPr>
        <w:lastRenderedPageBreak/>
        <w:t>万元、</w:t>
      </w:r>
      <w:r w:rsidR="00324E8C" w:rsidRPr="00B51B7C">
        <w:rPr>
          <w:rFonts w:asciiTheme="minorEastAsia" w:hAnsiTheme="minorEastAsia" w:cs="Times"/>
          <w:kern w:val="0"/>
          <w:sz w:val="24"/>
          <w:szCs w:val="24"/>
        </w:rPr>
        <w:t>82,566.32</w:t>
      </w:r>
      <w:r w:rsidRPr="00B51B7C">
        <w:rPr>
          <w:rFonts w:asciiTheme="minorEastAsia" w:hAnsiTheme="minorEastAsia" w:cs="Times" w:hint="eastAsia"/>
          <w:kern w:val="0"/>
          <w:sz w:val="24"/>
          <w:szCs w:val="24"/>
        </w:rPr>
        <w:t>万</w:t>
      </w:r>
      <w:r w:rsidR="00324E8C" w:rsidRPr="00B51B7C">
        <w:rPr>
          <w:rFonts w:asciiTheme="minorEastAsia" w:hAnsiTheme="minorEastAsia" w:cs="Times" w:hint="eastAsia"/>
          <w:kern w:val="0"/>
          <w:sz w:val="24"/>
          <w:szCs w:val="24"/>
        </w:rPr>
        <w:t>元</w:t>
      </w:r>
      <w:r w:rsidRPr="00B51B7C">
        <w:rPr>
          <w:rFonts w:asciiTheme="minorEastAsia" w:hAnsiTheme="minorEastAsia" w:cs="Times" w:hint="eastAsia"/>
          <w:kern w:val="0"/>
          <w:sz w:val="24"/>
          <w:szCs w:val="24"/>
        </w:rPr>
        <w:t>，货币资金可以满足生产经营所需；</w:t>
      </w:r>
    </w:p>
    <w:p w14:paraId="155F3203" w14:textId="0BBAC5EC" w:rsidR="00DF5D79" w:rsidRPr="00B51B7C" w:rsidRDefault="00DF5D79" w:rsidP="003912B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764FE5" w:rsidRPr="00B51B7C">
        <w:rPr>
          <w:rFonts w:asciiTheme="minorEastAsia" w:hAnsiTheme="minorEastAsia" w:cs="Times" w:hint="eastAsia"/>
          <w:kern w:val="0"/>
          <w:sz w:val="24"/>
          <w:szCs w:val="24"/>
        </w:rPr>
        <w:t>4</w:t>
      </w:r>
      <w:r w:rsidRPr="00B51B7C">
        <w:rPr>
          <w:rFonts w:asciiTheme="minorEastAsia" w:hAnsiTheme="minorEastAsia" w:cs="Times" w:hint="eastAsia"/>
          <w:kern w:val="0"/>
          <w:sz w:val="24"/>
          <w:szCs w:val="24"/>
        </w:rPr>
        <w:t>）公司债务陆续清偿，公司及管理人积极推动解除对公司资产、银行账户的冻结、保全措施，公司将逐步恢复正常融资能力；</w:t>
      </w:r>
    </w:p>
    <w:p w14:paraId="283FBAAD" w14:textId="1747B71E" w:rsidR="00DF5D79" w:rsidRPr="00B51B7C" w:rsidRDefault="00DF5D79" w:rsidP="00DF5D7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764FE5" w:rsidRPr="00B51B7C">
        <w:rPr>
          <w:rFonts w:asciiTheme="minorEastAsia" w:hAnsiTheme="minorEastAsia" w:cs="Times" w:hint="eastAsia"/>
          <w:kern w:val="0"/>
          <w:sz w:val="24"/>
          <w:szCs w:val="24"/>
        </w:rPr>
        <w:t>5</w:t>
      </w:r>
      <w:r w:rsidRPr="00B51B7C">
        <w:rPr>
          <w:rFonts w:asciiTheme="minorEastAsia" w:hAnsiTheme="minorEastAsia" w:cs="Times" w:hint="eastAsia"/>
          <w:kern w:val="0"/>
          <w:sz w:val="24"/>
          <w:szCs w:val="24"/>
        </w:rPr>
        <w:t>）202</w:t>
      </w:r>
      <w:r w:rsidR="00F811C9" w:rsidRPr="00B51B7C">
        <w:rPr>
          <w:rFonts w:asciiTheme="minorEastAsia" w:hAnsiTheme="minorEastAsia" w:cs="Times" w:hint="eastAsia"/>
          <w:kern w:val="0"/>
          <w:sz w:val="24"/>
          <w:szCs w:val="24"/>
        </w:rPr>
        <w:t>4</w:t>
      </w:r>
      <w:r w:rsidRPr="00B51B7C">
        <w:rPr>
          <w:rFonts w:asciiTheme="minorEastAsia" w:hAnsiTheme="minorEastAsia" w:cs="Times" w:hint="eastAsia"/>
          <w:kern w:val="0"/>
          <w:sz w:val="24"/>
          <w:szCs w:val="24"/>
        </w:rPr>
        <w:t xml:space="preserve"> 年末完成了实际控制人变更，公司治理层和核心管理层人员稳定</w:t>
      </w:r>
      <w:r w:rsidR="00755CA7" w:rsidRPr="00B51B7C">
        <w:rPr>
          <w:rFonts w:asciiTheme="minorEastAsia" w:hAnsiTheme="minorEastAsia" w:cs="Times" w:hint="eastAsia"/>
          <w:kern w:val="0"/>
          <w:sz w:val="24"/>
          <w:szCs w:val="24"/>
        </w:rPr>
        <w:t>；</w:t>
      </w:r>
    </w:p>
    <w:p w14:paraId="55478866" w14:textId="0BD7CABA" w:rsidR="00755CA7" w:rsidRPr="00B51B7C" w:rsidRDefault="00CD2FB2" w:rsidP="00755CA7">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综上，公司于2024年度完成破产重整程序，经营状况及财务状况得到极大改善，核心业务保持稳定，持续经营的重大不确定性已经消除。</w:t>
      </w:r>
    </w:p>
    <w:p w14:paraId="51643C93" w14:textId="523A7659" w:rsidR="00CD2FB2" w:rsidRPr="00B51B7C" w:rsidRDefault="00CD2FB2" w:rsidP="00755CA7">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w:t>
      </w:r>
      <w:r w:rsidRPr="00B51B7C">
        <w:rPr>
          <w:rFonts w:asciiTheme="minorEastAsia" w:hAnsiTheme="minorEastAsia" w:hint="eastAsia"/>
        </w:rPr>
        <w:t xml:space="preserve"> </w:t>
      </w:r>
      <w:r w:rsidRPr="00B51B7C">
        <w:rPr>
          <w:rFonts w:asciiTheme="minorEastAsia" w:hAnsiTheme="minorEastAsia" w:cs="Times" w:hint="eastAsia"/>
          <w:kern w:val="0"/>
          <w:sz w:val="24"/>
          <w:szCs w:val="24"/>
        </w:rPr>
        <w:t>我们对持续经营能力执行的审计程序及获取的审计证据如下：</w:t>
      </w:r>
    </w:p>
    <w:p w14:paraId="11FE8A84" w14:textId="522DE605" w:rsidR="00694E4C" w:rsidRPr="00B51B7C" w:rsidRDefault="00694E4C" w:rsidP="00ED513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00ED5134" w:rsidRPr="00B51B7C">
        <w:rPr>
          <w:rFonts w:asciiTheme="minorEastAsia" w:hAnsiTheme="minorEastAsia" w:cs="Times" w:hint="eastAsia"/>
          <w:kern w:val="0"/>
          <w:sz w:val="24"/>
          <w:szCs w:val="24"/>
        </w:rPr>
        <w:t>获取并检查公司破产重整计划，以及与重整相关的《民事裁定书》</w:t>
      </w:r>
      <w:r w:rsidR="00C74F64" w:rsidRPr="00B51B7C">
        <w:rPr>
          <w:rFonts w:asciiTheme="minorEastAsia" w:hAnsiTheme="minorEastAsia" w:cs="Times" w:hint="eastAsia"/>
          <w:kern w:val="0"/>
          <w:sz w:val="24"/>
          <w:szCs w:val="24"/>
        </w:rPr>
        <w:t>、重整投资协议</w:t>
      </w:r>
      <w:r w:rsidR="00ED5134" w:rsidRPr="00B51B7C">
        <w:rPr>
          <w:rFonts w:asciiTheme="minorEastAsia" w:hAnsiTheme="minorEastAsia" w:cs="Times" w:hint="eastAsia"/>
          <w:kern w:val="0"/>
          <w:sz w:val="24"/>
          <w:szCs w:val="24"/>
        </w:rPr>
        <w:t>等</w:t>
      </w:r>
      <w:r w:rsidR="00C74F64" w:rsidRPr="00B51B7C">
        <w:rPr>
          <w:rFonts w:asciiTheme="minorEastAsia" w:hAnsiTheme="minorEastAsia" w:cs="Times" w:hint="eastAsia"/>
          <w:kern w:val="0"/>
          <w:sz w:val="24"/>
          <w:szCs w:val="24"/>
        </w:rPr>
        <w:t>关键性证据</w:t>
      </w:r>
      <w:r w:rsidR="00ED5134" w:rsidRPr="00B51B7C">
        <w:rPr>
          <w:rFonts w:asciiTheme="minorEastAsia" w:hAnsiTheme="minorEastAsia" w:cs="Times" w:hint="eastAsia"/>
          <w:kern w:val="0"/>
          <w:sz w:val="24"/>
          <w:szCs w:val="24"/>
        </w:rPr>
        <w:t>，评价破产重整程序对公司持续经营能力的影响；</w:t>
      </w:r>
    </w:p>
    <w:p w14:paraId="26E7F987" w14:textId="123EF50C" w:rsidR="00ED5134" w:rsidRPr="00B51B7C" w:rsidRDefault="00ED5134" w:rsidP="00ED513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（2）了解公司在财务、经营以及其他方面是否存在可能导致对持续经营能力产生重大疑虑的事项或情况</w:t>
      </w:r>
      <w:r w:rsidR="00C74F64" w:rsidRPr="00B51B7C">
        <w:rPr>
          <w:rFonts w:asciiTheme="minorEastAsia" w:hAnsiTheme="minorEastAsia" w:cs="Times" w:hint="eastAsia"/>
          <w:kern w:val="0"/>
          <w:sz w:val="24"/>
          <w:szCs w:val="24"/>
        </w:rPr>
        <w:t>；</w:t>
      </w:r>
      <w:r w:rsidR="00C74F64" w:rsidRPr="00B51B7C">
        <w:rPr>
          <w:rFonts w:asciiTheme="minorEastAsia" w:hAnsiTheme="minorEastAsia" w:cs="Times"/>
          <w:kern w:val="0"/>
          <w:sz w:val="24"/>
          <w:szCs w:val="24"/>
        </w:rPr>
        <w:t xml:space="preserve"> </w:t>
      </w:r>
    </w:p>
    <w:p w14:paraId="579C771B" w14:textId="429F674B" w:rsidR="00C74F64" w:rsidRPr="00B51B7C" w:rsidRDefault="00ED5134" w:rsidP="00C74F6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w:t>
      </w:r>
      <w:r w:rsidR="00C50686" w:rsidRPr="00B51B7C">
        <w:rPr>
          <w:rFonts w:asciiTheme="minorEastAsia" w:hAnsiTheme="minorEastAsia" w:cs="Times" w:hint="eastAsia"/>
          <w:kern w:val="0"/>
          <w:sz w:val="24"/>
          <w:szCs w:val="24"/>
        </w:rPr>
        <w:t>获取并</w:t>
      </w:r>
      <w:r w:rsidRPr="00B51B7C">
        <w:rPr>
          <w:rFonts w:asciiTheme="minorEastAsia" w:hAnsiTheme="minorEastAsia" w:cs="Times" w:hint="eastAsia"/>
          <w:kern w:val="0"/>
          <w:sz w:val="24"/>
          <w:szCs w:val="24"/>
        </w:rPr>
        <w:t>评价管理层对持续经营</w:t>
      </w:r>
      <w:proofErr w:type="gramStart"/>
      <w:r w:rsidRPr="00B51B7C">
        <w:rPr>
          <w:rFonts w:asciiTheme="minorEastAsia" w:hAnsiTheme="minorEastAsia" w:cs="Times" w:hint="eastAsia"/>
          <w:kern w:val="0"/>
          <w:sz w:val="24"/>
          <w:szCs w:val="24"/>
        </w:rPr>
        <w:t>作出</w:t>
      </w:r>
      <w:proofErr w:type="gramEnd"/>
      <w:r w:rsidRPr="00B51B7C">
        <w:rPr>
          <w:rFonts w:asciiTheme="minorEastAsia" w:hAnsiTheme="minorEastAsia" w:cs="Times" w:hint="eastAsia"/>
          <w:kern w:val="0"/>
          <w:sz w:val="24"/>
          <w:szCs w:val="24"/>
        </w:rPr>
        <w:t>的评估，包括考虑管理层</w:t>
      </w:r>
      <w:proofErr w:type="gramStart"/>
      <w:r w:rsidRPr="00B51B7C">
        <w:rPr>
          <w:rFonts w:asciiTheme="minorEastAsia" w:hAnsiTheme="minorEastAsia" w:cs="Times" w:hint="eastAsia"/>
          <w:kern w:val="0"/>
          <w:sz w:val="24"/>
          <w:szCs w:val="24"/>
        </w:rPr>
        <w:t>作出</w:t>
      </w:r>
      <w:proofErr w:type="gramEnd"/>
      <w:r w:rsidRPr="00B51B7C">
        <w:rPr>
          <w:rFonts w:asciiTheme="minorEastAsia" w:hAnsiTheme="minorEastAsia" w:cs="Times" w:hint="eastAsia"/>
          <w:kern w:val="0"/>
          <w:sz w:val="24"/>
          <w:szCs w:val="24"/>
        </w:rPr>
        <w:t>评估的过程、依据的假设、管理层的应对计划以及管理层的计划在当前的情况下是否可行</w:t>
      </w:r>
      <w:r w:rsidR="00DF5D79" w:rsidRPr="00B51B7C">
        <w:rPr>
          <w:rFonts w:asciiTheme="minorEastAsia" w:hAnsiTheme="minorEastAsia" w:cs="Times" w:hint="eastAsia"/>
          <w:kern w:val="0"/>
          <w:sz w:val="24"/>
          <w:szCs w:val="24"/>
        </w:rPr>
        <w:t>；</w:t>
      </w:r>
      <w:r w:rsidR="00C74F64" w:rsidRPr="00B51B7C">
        <w:rPr>
          <w:rFonts w:asciiTheme="minorEastAsia" w:hAnsiTheme="minorEastAsia" w:cs="Times" w:hint="eastAsia"/>
          <w:kern w:val="0"/>
          <w:sz w:val="24"/>
          <w:szCs w:val="24"/>
        </w:rPr>
        <w:t>询问管理层，是否存在超出评估期间可能对持续经营能力存在重大疑虑的事项或情况</w:t>
      </w:r>
      <w:r w:rsidR="00C50686" w:rsidRPr="00B51B7C">
        <w:rPr>
          <w:rFonts w:asciiTheme="minorEastAsia" w:hAnsiTheme="minorEastAsia" w:cs="Times" w:hint="eastAsia"/>
          <w:kern w:val="0"/>
          <w:sz w:val="24"/>
          <w:szCs w:val="24"/>
        </w:rPr>
        <w:t>；</w:t>
      </w:r>
    </w:p>
    <w:p w14:paraId="70FFD8BE" w14:textId="3606B8C0" w:rsidR="00DF5D79" w:rsidRPr="00B51B7C" w:rsidRDefault="00DF5D79" w:rsidP="00ED513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（4）</w:t>
      </w:r>
      <w:r w:rsidR="00C50686" w:rsidRPr="00B51B7C">
        <w:rPr>
          <w:rFonts w:asciiTheme="minorEastAsia" w:hAnsiTheme="minorEastAsia" w:cs="Times" w:hint="eastAsia"/>
          <w:kern w:val="0"/>
          <w:sz w:val="24"/>
          <w:szCs w:val="24"/>
        </w:rPr>
        <w:t>获取</w:t>
      </w:r>
      <w:r w:rsidR="00530A60" w:rsidRPr="00B51B7C">
        <w:rPr>
          <w:rFonts w:asciiTheme="minorEastAsia" w:hAnsiTheme="minorEastAsia" w:cs="Times" w:hint="eastAsia"/>
          <w:kern w:val="0"/>
          <w:sz w:val="24"/>
          <w:szCs w:val="24"/>
        </w:rPr>
        <w:t>并检查</w:t>
      </w:r>
      <w:r w:rsidR="00C50686" w:rsidRPr="00B51B7C">
        <w:rPr>
          <w:rFonts w:asciiTheme="minorEastAsia" w:hAnsiTheme="minorEastAsia" w:cs="Times" w:hint="eastAsia"/>
          <w:kern w:val="0"/>
          <w:sz w:val="24"/>
          <w:szCs w:val="24"/>
        </w:rPr>
        <w:t>公司 2025年一季度财务报告，了解公司持续经营能力</w:t>
      </w:r>
      <w:r w:rsidR="00D25015" w:rsidRPr="00B51B7C">
        <w:rPr>
          <w:rFonts w:asciiTheme="minorEastAsia" w:hAnsiTheme="minorEastAsia" w:cs="Times" w:hint="eastAsia"/>
          <w:kern w:val="0"/>
          <w:sz w:val="24"/>
          <w:szCs w:val="24"/>
        </w:rPr>
        <w:t>。</w:t>
      </w:r>
    </w:p>
    <w:p w14:paraId="0C62F97B" w14:textId="3FE58940" w:rsidR="00694E4C" w:rsidRPr="00B51B7C" w:rsidRDefault="00C50686" w:rsidP="00694E4C">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二</w:t>
      </w:r>
      <w:r w:rsidR="00694E4C" w:rsidRPr="00B51B7C">
        <w:rPr>
          <w:rFonts w:asciiTheme="minorEastAsia" w:hAnsiTheme="minorEastAsia" w:cs="Times" w:hint="eastAsia"/>
          <w:b/>
          <w:bCs/>
          <w:kern w:val="0"/>
          <w:sz w:val="24"/>
          <w:szCs w:val="24"/>
        </w:rPr>
        <w:t>.</w:t>
      </w:r>
      <w:r w:rsidR="00694E4C" w:rsidRPr="00B51B7C">
        <w:rPr>
          <w:rFonts w:asciiTheme="minorEastAsia" w:hAnsiTheme="minorEastAsia" w:hint="eastAsia"/>
        </w:rPr>
        <w:t xml:space="preserve"> </w:t>
      </w:r>
      <w:bookmarkStart w:id="1" w:name="_Hlk197719068"/>
      <w:r w:rsidR="00694E4C" w:rsidRPr="00B51B7C">
        <w:rPr>
          <w:rFonts w:asciiTheme="minorEastAsia" w:hAnsiTheme="minorEastAsia" w:cs="Times" w:hint="eastAsia"/>
          <w:b/>
          <w:bCs/>
          <w:kern w:val="0"/>
          <w:sz w:val="24"/>
          <w:szCs w:val="24"/>
        </w:rPr>
        <w:t>非经营性资金占用及违规担保事项</w:t>
      </w:r>
      <w:bookmarkEnd w:id="1"/>
      <w:r w:rsidR="00694E4C" w:rsidRPr="00B51B7C">
        <w:rPr>
          <w:rFonts w:asciiTheme="minorEastAsia" w:hAnsiTheme="minorEastAsia" w:cs="Times" w:hint="eastAsia"/>
          <w:b/>
          <w:bCs/>
          <w:kern w:val="0"/>
          <w:sz w:val="24"/>
          <w:szCs w:val="24"/>
        </w:rPr>
        <w:t>：</w:t>
      </w:r>
    </w:p>
    <w:p w14:paraId="37146DDB" w14:textId="0367C201" w:rsidR="00C50686" w:rsidRPr="00B51B7C" w:rsidRDefault="00C50686" w:rsidP="00C5068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非经营性资金占用及违规担保事项影响已消除的具体判断过程如下：</w:t>
      </w:r>
    </w:p>
    <w:p w14:paraId="4E1D3D7F" w14:textId="77777777" w:rsidR="00C25584" w:rsidRPr="00B51B7C" w:rsidRDefault="00C50686" w:rsidP="00C25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00C25584" w:rsidRPr="00B51B7C">
        <w:rPr>
          <w:rFonts w:asciiTheme="minorEastAsia" w:hAnsiTheme="minorEastAsia" w:cs="Times" w:hint="eastAsia"/>
          <w:kern w:val="0"/>
          <w:sz w:val="24"/>
          <w:szCs w:val="24"/>
        </w:rPr>
        <w:t>公司、公司子公司分别与相关债权人签署了代为履行协议，同时签署了确认函，确认单方豁免标的债权，该协议</w:t>
      </w:r>
      <w:proofErr w:type="gramStart"/>
      <w:r w:rsidR="00C25584" w:rsidRPr="00B51B7C">
        <w:rPr>
          <w:rFonts w:asciiTheme="minorEastAsia" w:hAnsiTheme="minorEastAsia" w:cs="Times" w:hint="eastAsia"/>
          <w:kern w:val="0"/>
          <w:sz w:val="24"/>
          <w:szCs w:val="24"/>
        </w:rPr>
        <w:t>自法院</w:t>
      </w:r>
      <w:proofErr w:type="gramEnd"/>
      <w:r w:rsidR="00C25584" w:rsidRPr="00B51B7C">
        <w:rPr>
          <w:rFonts w:asciiTheme="minorEastAsia" w:hAnsiTheme="minorEastAsia" w:cs="Times" w:hint="eastAsia"/>
          <w:kern w:val="0"/>
          <w:sz w:val="24"/>
          <w:szCs w:val="24"/>
        </w:rPr>
        <w:t>裁定受理公司</w:t>
      </w:r>
      <w:proofErr w:type="gramStart"/>
      <w:r w:rsidR="00C25584" w:rsidRPr="00B51B7C">
        <w:rPr>
          <w:rFonts w:asciiTheme="minorEastAsia" w:hAnsiTheme="minorEastAsia" w:cs="Times" w:hint="eastAsia"/>
          <w:kern w:val="0"/>
          <w:sz w:val="24"/>
          <w:szCs w:val="24"/>
        </w:rPr>
        <w:t>重整日</w:t>
      </w:r>
      <w:proofErr w:type="gramEnd"/>
      <w:r w:rsidR="00C25584" w:rsidRPr="00B51B7C">
        <w:rPr>
          <w:rFonts w:asciiTheme="minorEastAsia" w:hAnsiTheme="minorEastAsia" w:cs="Times" w:hint="eastAsia"/>
          <w:kern w:val="0"/>
          <w:sz w:val="24"/>
          <w:szCs w:val="24"/>
        </w:rPr>
        <w:t>起生效。豁免目的旨在增厚江苏中利公司权益、填补江苏中利因非经营性资金占用而产生的损失，涉及的金额及相关利息共计112,483.48万元。</w:t>
      </w:r>
    </w:p>
    <w:p w14:paraId="52CD1BFC" w14:textId="77777777" w:rsidR="00C25584" w:rsidRPr="00B51B7C" w:rsidRDefault="00C25584" w:rsidP="00C25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全体财务投资人对江苏中利捐赠款项68,035.71万元，全额以现金形式汇入管理人银行账户。如新发现除已公告并解决的180,519.19万元非经营性资金占用问题，且在重整受理日前已发生的，则由全体财务投资人在各自投资份额内负责解决。</w:t>
      </w:r>
    </w:p>
    <w:p w14:paraId="25C7356A" w14:textId="3AEA5EF0" w:rsidR="00C50686" w:rsidRPr="00B51B7C" w:rsidRDefault="00C25584" w:rsidP="00C25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2025年1月9日，容诚会计师事务所（特殊普通合伙）出具了《关于江苏中利集团股份有限公司大股东及其附属企业非经营性资金占用清偿情况的专项说明》，说明公司大股东及其附属企业非经营性资金占用已于2024年6月1日</w:t>
      </w:r>
      <w:r w:rsidRPr="00B51B7C">
        <w:rPr>
          <w:rFonts w:asciiTheme="minorEastAsia" w:hAnsiTheme="minorEastAsia" w:cs="Times" w:hint="eastAsia"/>
          <w:kern w:val="0"/>
          <w:sz w:val="24"/>
          <w:szCs w:val="24"/>
        </w:rPr>
        <w:lastRenderedPageBreak/>
        <w:t>至2024年12月16日期间已全部得到了清偿。</w:t>
      </w:r>
    </w:p>
    <w:p w14:paraId="3CA654E4" w14:textId="77777777" w:rsidR="00C25584" w:rsidRPr="00B51B7C" w:rsidRDefault="00C50686" w:rsidP="00C25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w:t>
      </w:r>
      <w:r w:rsidR="00C25584" w:rsidRPr="00B51B7C">
        <w:rPr>
          <w:rFonts w:asciiTheme="minorEastAsia" w:hAnsiTheme="minorEastAsia" w:cs="Times" w:hint="eastAsia"/>
          <w:kern w:val="0"/>
          <w:sz w:val="24"/>
          <w:szCs w:val="24"/>
        </w:rPr>
        <w:t>2024年12月24日，公司、管理人及产业投资人签署重整投资协议，产业投资人承诺以现金形式就公司为承担违规担保债权清偿责任所实际付出的偿债资源对公司进行补偿。</w:t>
      </w:r>
    </w:p>
    <w:p w14:paraId="541376AF" w14:textId="77777777" w:rsidR="00C25584" w:rsidRPr="00B51B7C" w:rsidRDefault="00C25584" w:rsidP="00C25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公司违规担保问题已经通过产业投资人按照重整协议约定的兜底方式获得妥善解决。</w:t>
      </w:r>
    </w:p>
    <w:p w14:paraId="6658E897" w14:textId="31A2D461" w:rsidR="00C50686" w:rsidRPr="00B51B7C" w:rsidRDefault="00C25584" w:rsidP="00C25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2025年1月8日，上海加宁律师事务所出具了《关于江苏中利集团股份有限公司相关事项之法律意见书》，针对公司关联方资金占用和违规担保问题整改情况发表了专项说明。</w:t>
      </w:r>
    </w:p>
    <w:p w14:paraId="6CA37750" w14:textId="346D3FB5" w:rsidR="00C50686" w:rsidRPr="00B51B7C" w:rsidRDefault="00C50686" w:rsidP="00C5068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综上，公司</w:t>
      </w:r>
      <w:r w:rsidR="00C25584" w:rsidRPr="00B51B7C">
        <w:rPr>
          <w:rFonts w:asciiTheme="minorEastAsia" w:hAnsiTheme="minorEastAsia" w:cs="Times" w:hint="eastAsia"/>
          <w:kern w:val="0"/>
          <w:sz w:val="24"/>
          <w:szCs w:val="24"/>
        </w:rPr>
        <w:t>非经营性资金占用及违规担保事项的影响</w:t>
      </w:r>
      <w:r w:rsidRPr="00B51B7C">
        <w:rPr>
          <w:rFonts w:asciiTheme="minorEastAsia" w:hAnsiTheme="minorEastAsia" w:cs="Times" w:hint="eastAsia"/>
          <w:kern w:val="0"/>
          <w:sz w:val="24"/>
          <w:szCs w:val="24"/>
        </w:rPr>
        <w:t>已经消除。</w:t>
      </w:r>
    </w:p>
    <w:p w14:paraId="56252B27" w14:textId="26991ACC" w:rsidR="00C50686" w:rsidRPr="00B51B7C" w:rsidRDefault="00C50686" w:rsidP="00C5068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w:t>
      </w:r>
      <w:r w:rsidRPr="00B51B7C">
        <w:rPr>
          <w:rFonts w:asciiTheme="minorEastAsia" w:hAnsiTheme="minorEastAsia" w:hint="eastAsia"/>
        </w:rPr>
        <w:t xml:space="preserve"> </w:t>
      </w:r>
      <w:r w:rsidRPr="00B51B7C">
        <w:rPr>
          <w:rFonts w:asciiTheme="minorEastAsia" w:hAnsiTheme="minorEastAsia" w:cs="Times" w:hint="eastAsia"/>
          <w:kern w:val="0"/>
          <w:sz w:val="24"/>
          <w:szCs w:val="24"/>
        </w:rPr>
        <w:t>我们对</w:t>
      </w:r>
      <w:r w:rsidR="00C25584" w:rsidRPr="00B51B7C">
        <w:rPr>
          <w:rFonts w:asciiTheme="minorEastAsia" w:hAnsiTheme="minorEastAsia" w:cs="Times" w:hint="eastAsia"/>
          <w:kern w:val="0"/>
          <w:sz w:val="24"/>
          <w:szCs w:val="24"/>
        </w:rPr>
        <w:t>非经营性资金占用及违规担保事项</w:t>
      </w:r>
      <w:r w:rsidRPr="00B51B7C">
        <w:rPr>
          <w:rFonts w:asciiTheme="minorEastAsia" w:hAnsiTheme="minorEastAsia" w:cs="Times" w:hint="eastAsia"/>
          <w:kern w:val="0"/>
          <w:sz w:val="24"/>
          <w:szCs w:val="24"/>
        </w:rPr>
        <w:t>执行的审计程序及获取的审计证据如下：</w:t>
      </w:r>
    </w:p>
    <w:p w14:paraId="6AF55C8B" w14:textId="4C48F813" w:rsidR="00C50686" w:rsidRPr="00B51B7C" w:rsidRDefault="00C50686" w:rsidP="00C50686">
      <w:pPr>
        <w:spacing w:line="360" w:lineRule="auto"/>
        <w:ind w:firstLineChars="200" w:firstLine="480"/>
        <w:rPr>
          <w:rFonts w:asciiTheme="minorEastAsia" w:hAnsiTheme="minorEastAsia" w:cs="Times"/>
          <w:kern w:val="0"/>
          <w:sz w:val="24"/>
          <w:szCs w:val="24"/>
        </w:rPr>
      </w:pPr>
      <w:bookmarkStart w:id="2" w:name="_Hlk197938794"/>
      <w:r w:rsidRPr="00B51B7C">
        <w:rPr>
          <w:rFonts w:asciiTheme="minorEastAsia" w:hAnsiTheme="minorEastAsia" w:cs="Times" w:hint="eastAsia"/>
          <w:kern w:val="0"/>
          <w:sz w:val="24"/>
          <w:szCs w:val="24"/>
        </w:rPr>
        <w:t>（1）获取并检查</w:t>
      </w:r>
      <w:r w:rsidR="00051509" w:rsidRPr="00B51B7C">
        <w:rPr>
          <w:rFonts w:asciiTheme="minorEastAsia" w:hAnsiTheme="minorEastAsia" w:cs="Times" w:hint="eastAsia"/>
          <w:kern w:val="0"/>
          <w:sz w:val="24"/>
          <w:szCs w:val="24"/>
        </w:rPr>
        <w:t>公司与相关债权人签署的代为履行协议</w:t>
      </w:r>
      <w:r w:rsidR="001540A8" w:rsidRPr="00B51B7C">
        <w:rPr>
          <w:rFonts w:asciiTheme="minorEastAsia" w:hAnsiTheme="minorEastAsia" w:cs="Times" w:hint="eastAsia"/>
          <w:kern w:val="0"/>
          <w:sz w:val="24"/>
          <w:szCs w:val="24"/>
        </w:rPr>
        <w:t>、</w:t>
      </w:r>
      <w:r w:rsidR="00051509" w:rsidRPr="00B51B7C">
        <w:rPr>
          <w:rFonts w:asciiTheme="minorEastAsia" w:hAnsiTheme="minorEastAsia" w:cs="Times" w:hint="eastAsia"/>
          <w:kern w:val="0"/>
          <w:sz w:val="24"/>
          <w:szCs w:val="24"/>
        </w:rPr>
        <w:t>豁免确认函，确认豁免生效日期</w:t>
      </w:r>
      <w:r w:rsidRPr="00B51B7C">
        <w:rPr>
          <w:rFonts w:asciiTheme="minorEastAsia" w:hAnsiTheme="minorEastAsia" w:cs="Times" w:hint="eastAsia"/>
          <w:kern w:val="0"/>
          <w:sz w:val="24"/>
          <w:szCs w:val="24"/>
        </w:rPr>
        <w:t>；</w:t>
      </w:r>
    </w:p>
    <w:p w14:paraId="249FB57B" w14:textId="77777777" w:rsidR="00051509" w:rsidRPr="00B51B7C" w:rsidRDefault="00C50686" w:rsidP="00C5068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w:t>
      </w:r>
      <w:r w:rsidR="00051509" w:rsidRPr="00B51B7C">
        <w:rPr>
          <w:rFonts w:asciiTheme="minorEastAsia" w:hAnsiTheme="minorEastAsia" w:cs="Times" w:hint="eastAsia"/>
          <w:kern w:val="0"/>
          <w:sz w:val="24"/>
          <w:szCs w:val="24"/>
        </w:rPr>
        <w:t>获取并检查公司与财务投资人签署的重整投资协议，检查财务投资人捐赠银行回单，确认资金划转日期及金额</w:t>
      </w:r>
      <w:r w:rsidRPr="00B51B7C">
        <w:rPr>
          <w:rFonts w:asciiTheme="minorEastAsia" w:hAnsiTheme="minorEastAsia" w:cs="Times" w:hint="eastAsia"/>
          <w:kern w:val="0"/>
          <w:sz w:val="24"/>
          <w:szCs w:val="24"/>
        </w:rPr>
        <w:t>；</w:t>
      </w:r>
    </w:p>
    <w:p w14:paraId="61EC377B" w14:textId="41682F4C" w:rsidR="00C50686" w:rsidRPr="00B51B7C" w:rsidRDefault="00051509" w:rsidP="00C5068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w:t>
      </w:r>
      <w:r w:rsidR="00C50686" w:rsidRPr="00B51B7C">
        <w:rPr>
          <w:rFonts w:asciiTheme="minorEastAsia" w:hAnsiTheme="minorEastAsia" w:cs="Times"/>
          <w:kern w:val="0"/>
          <w:sz w:val="24"/>
          <w:szCs w:val="24"/>
        </w:rPr>
        <w:t xml:space="preserve"> </w:t>
      </w:r>
      <w:r w:rsidRPr="00B51B7C">
        <w:rPr>
          <w:rFonts w:asciiTheme="minorEastAsia" w:hAnsiTheme="minorEastAsia" w:cs="Times" w:hint="eastAsia"/>
          <w:kern w:val="0"/>
          <w:sz w:val="24"/>
          <w:szCs w:val="24"/>
        </w:rPr>
        <w:t>获取并检查公司与产业投资人签署的重整投资协议，确认与解决违规担保问题相关的协议约定及协议生效日期；</w:t>
      </w:r>
    </w:p>
    <w:p w14:paraId="748E461E" w14:textId="2661D768" w:rsidR="00051509" w:rsidRPr="00B51B7C" w:rsidRDefault="00051509" w:rsidP="00C5068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（4）获取并检查容诚会计师事务所（特殊普通合伙）出具</w:t>
      </w:r>
      <w:r w:rsidR="001540A8" w:rsidRPr="00B51B7C">
        <w:rPr>
          <w:rFonts w:asciiTheme="minorEastAsia" w:hAnsiTheme="minorEastAsia" w:cs="Times" w:hint="eastAsia"/>
          <w:kern w:val="0"/>
          <w:sz w:val="24"/>
          <w:szCs w:val="24"/>
        </w:rPr>
        <w:t>的</w:t>
      </w:r>
      <w:r w:rsidRPr="00B51B7C">
        <w:rPr>
          <w:rFonts w:asciiTheme="minorEastAsia" w:hAnsiTheme="minorEastAsia" w:cs="Times" w:hint="eastAsia"/>
          <w:kern w:val="0"/>
          <w:sz w:val="24"/>
          <w:szCs w:val="24"/>
        </w:rPr>
        <w:t>《关于江苏中利集团股份有限公司大股东及其附属企业非经营性资金占用清偿情况的专项说明》；</w:t>
      </w:r>
    </w:p>
    <w:p w14:paraId="6CCF9FDD" w14:textId="27716BD6" w:rsidR="00C50686" w:rsidRPr="00B51B7C" w:rsidRDefault="00C50686"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051509" w:rsidRPr="00B51B7C">
        <w:rPr>
          <w:rFonts w:asciiTheme="minorEastAsia" w:hAnsiTheme="minorEastAsia" w:cs="Times" w:hint="eastAsia"/>
          <w:kern w:val="0"/>
          <w:sz w:val="24"/>
          <w:szCs w:val="24"/>
        </w:rPr>
        <w:t>5</w:t>
      </w:r>
      <w:r w:rsidRPr="00B51B7C">
        <w:rPr>
          <w:rFonts w:asciiTheme="minorEastAsia" w:hAnsiTheme="minorEastAsia" w:cs="Times" w:hint="eastAsia"/>
          <w:kern w:val="0"/>
          <w:sz w:val="24"/>
          <w:szCs w:val="24"/>
        </w:rPr>
        <w:t>）获取并</w:t>
      </w:r>
      <w:r w:rsidR="00051509" w:rsidRPr="00B51B7C">
        <w:rPr>
          <w:rFonts w:asciiTheme="minorEastAsia" w:hAnsiTheme="minorEastAsia" w:cs="Times" w:hint="eastAsia"/>
          <w:kern w:val="0"/>
          <w:sz w:val="24"/>
          <w:szCs w:val="24"/>
        </w:rPr>
        <w:t>检查上海加宁律师事务所出具的《关于江苏中利集团股份有限公司相关事项之法律意见书》。</w:t>
      </w:r>
    </w:p>
    <w:bookmarkEnd w:id="2"/>
    <w:p w14:paraId="2B3B8E96" w14:textId="37DAA547" w:rsidR="00694E4C" w:rsidRPr="00B51B7C" w:rsidRDefault="00051509" w:rsidP="00694E4C">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三</w:t>
      </w:r>
      <w:r w:rsidR="00694E4C" w:rsidRPr="00B51B7C">
        <w:rPr>
          <w:rFonts w:asciiTheme="minorEastAsia" w:hAnsiTheme="minorEastAsia" w:cs="Times" w:hint="eastAsia"/>
          <w:b/>
          <w:bCs/>
          <w:kern w:val="0"/>
          <w:sz w:val="24"/>
          <w:szCs w:val="24"/>
        </w:rPr>
        <w:t>.</w:t>
      </w:r>
      <w:r w:rsidR="00694E4C" w:rsidRPr="00B51B7C">
        <w:rPr>
          <w:rFonts w:asciiTheme="minorEastAsia" w:hAnsiTheme="minorEastAsia" w:hint="eastAsia"/>
        </w:rPr>
        <w:t xml:space="preserve"> </w:t>
      </w:r>
      <w:r w:rsidR="00694E4C" w:rsidRPr="00B51B7C">
        <w:rPr>
          <w:rFonts w:asciiTheme="minorEastAsia" w:hAnsiTheme="minorEastAsia" w:cs="Times" w:hint="eastAsia"/>
          <w:b/>
          <w:bCs/>
          <w:kern w:val="0"/>
          <w:sz w:val="24"/>
          <w:szCs w:val="24"/>
        </w:rPr>
        <w:t>中国证券监督管理委员会立案调查事项：</w:t>
      </w:r>
    </w:p>
    <w:p w14:paraId="448132ED" w14:textId="21589E8B" w:rsidR="00051509" w:rsidRPr="00B51B7C" w:rsidRDefault="00CF75F4"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1.中国证券监督管理委员会立案调查</w:t>
      </w:r>
      <w:r w:rsidR="00051509" w:rsidRPr="00B51B7C">
        <w:rPr>
          <w:rFonts w:asciiTheme="minorEastAsia" w:hAnsiTheme="minorEastAsia" w:cs="Times" w:hint="eastAsia"/>
          <w:kern w:val="0"/>
          <w:sz w:val="24"/>
          <w:szCs w:val="24"/>
        </w:rPr>
        <w:t>事项影响已消除的具体判断过程如下：</w:t>
      </w:r>
    </w:p>
    <w:p w14:paraId="2B8B7821" w14:textId="67BC742A" w:rsidR="00051509" w:rsidRPr="00B51B7C" w:rsidRDefault="00051509"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00CF75F4" w:rsidRPr="00B51B7C">
        <w:rPr>
          <w:rFonts w:asciiTheme="minorEastAsia" w:hAnsiTheme="minorEastAsia" w:cs="Times" w:hint="eastAsia"/>
          <w:kern w:val="0"/>
          <w:sz w:val="24"/>
          <w:szCs w:val="24"/>
        </w:rPr>
        <w:t>中国证监会于2024年6月28日下发对公司的《行政处罚决定书》，对相关人员进行了处罚；</w:t>
      </w:r>
    </w:p>
    <w:p w14:paraId="208C4F26" w14:textId="603E3EB2" w:rsidR="00051509" w:rsidRPr="00B51B7C" w:rsidRDefault="00CF75F4"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（2）针对《行政处罚决定书》中涉及的虚假记载，公司管理层已对前期财务报表追溯重述</w:t>
      </w:r>
      <w:r w:rsidR="00051509" w:rsidRPr="00B51B7C">
        <w:rPr>
          <w:rFonts w:asciiTheme="minorEastAsia" w:hAnsiTheme="minorEastAsia" w:cs="Times" w:hint="eastAsia"/>
          <w:kern w:val="0"/>
          <w:sz w:val="24"/>
          <w:szCs w:val="24"/>
        </w:rPr>
        <w:t>。</w:t>
      </w:r>
    </w:p>
    <w:p w14:paraId="7795D96E" w14:textId="794CE2E6" w:rsidR="00CF75F4" w:rsidRPr="00B51B7C" w:rsidRDefault="00CF75F4" w:rsidP="00CF75F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lastRenderedPageBreak/>
        <w:t>综上，公司被中国证券监督管理委员会立案调查事项的影响已经消除。</w:t>
      </w:r>
    </w:p>
    <w:p w14:paraId="0569DD53" w14:textId="140C72DF" w:rsidR="00051509" w:rsidRPr="00B51B7C" w:rsidRDefault="00051509"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w:t>
      </w:r>
      <w:r w:rsidRPr="00B51B7C">
        <w:rPr>
          <w:rFonts w:asciiTheme="minorEastAsia" w:hAnsiTheme="minorEastAsia" w:hint="eastAsia"/>
        </w:rPr>
        <w:t xml:space="preserve"> </w:t>
      </w:r>
      <w:r w:rsidRPr="00B51B7C">
        <w:rPr>
          <w:rFonts w:asciiTheme="minorEastAsia" w:hAnsiTheme="minorEastAsia" w:cs="Times" w:hint="eastAsia"/>
          <w:kern w:val="0"/>
          <w:sz w:val="24"/>
          <w:szCs w:val="24"/>
        </w:rPr>
        <w:t>我们对</w:t>
      </w:r>
      <w:r w:rsidR="00CF75F4" w:rsidRPr="00B51B7C">
        <w:rPr>
          <w:rFonts w:asciiTheme="minorEastAsia" w:hAnsiTheme="minorEastAsia" w:cs="Times" w:hint="eastAsia"/>
          <w:kern w:val="0"/>
          <w:sz w:val="24"/>
          <w:szCs w:val="24"/>
        </w:rPr>
        <w:t>中国证券监督管理委员会立案调查事项</w:t>
      </w:r>
      <w:r w:rsidRPr="00B51B7C">
        <w:rPr>
          <w:rFonts w:asciiTheme="minorEastAsia" w:hAnsiTheme="minorEastAsia" w:cs="Times" w:hint="eastAsia"/>
          <w:kern w:val="0"/>
          <w:sz w:val="24"/>
          <w:szCs w:val="24"/>
        </w:rPr>
        <w:t>执行的审计程序及获取的审计证据如下：</w:t>
      </w:r>
    </w:p>
    <w:p w14:paraId="495C5B05" w14:textId="58915CFB" w:rsidR="00051509" w:rsidRPr="00B51B7C" w:rsidRDefault="00051509"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00CF75F4" w:rsidRPr="00B51B7C">
        <w:rPr>
          <w:rFonts w:asciiTheme="minorEastAsia" w:hAnsiTheme="minorEastAsia" w:cs="Times" w:hint="eastAsia"/>
          <w:kern w:val="0"/>
          <w:sz w:val="24"/>
          <w:szCs w:val="24"/>
        </w:rPr>
        <w:t>获取并检查相关《行政处罚决定书》</w:t>
      </w:r>
      <w:r w:rsidRPr="00B51B7C">
        <w:rPr>
          <w:rFonts w:asciiTheme="minorEastAsia" w:hAnsiTheme="minorEastAsia" w:cs="Times" w:hint="eastAsia"/>
          <w:kern w:val="0"/>
          <w:sz w:val="24"/>
          <w:szCs w:val="24"/>
        </w:rPr>
        <w:t>；</w:t>
      </w:r>
    </w:p>
    <w:p w14:paraId="771CAC8C" w14:textId="4BC978CB" w:rsidR="00051509" w:rsidRPr="00B51B7C" w:rsidRDefault="00051509"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w:t>
      </w:r>
      <w:r w:rsidR="00CF75F4" w:rsidRPr="00B51B7C">
        <w:rPr>
          <w:rFonts w:asciiTheme="minorEastAsia" w:hAnsiTheme="minorEastAsia" w:cs="Times" w:hint="eastAsia"/>
          <w:kern w:val="0"/>
          <w:sz w:val="24"/>
          <w:szCs w:val="24"/>
        </w:rPr>
        <w:t>获取并检查与虚假记载相关的交易数据，与管理</w:t>
      </w:r>
      <w:proofErr w:type="gramStart"/>
      <w:r w:rsidR="00CF75F4" w:rsidRPr="00B51B7C">
        <w:rPr>
          <w:rFonts w:asciiTheme="minorEastAsia" w:hAnsiTheme="minorEastAsia" w:cs="Times" w:hint="eastAsia"/>
          <w:kern w:val="0"/>
          <w:sz w:val="24"/>
          <w:szCs w:val="24"/>
        </w:rPr>
        <w:t>层讨论</w:t>
      </w:r>
      <w:proofErr w:type="gramEnd"/>
      <w:r w:rsidR="00CF75F4" w:rsidRPr="00B51B7C">
        <w:rPr>
          <w:rFonts w:asciiTheme="minorEastAsia" w:hAnsiTheme="minorEastAsia" w:cs="Times" w:hint="eastAsia"/>
          <w:kern w:val="0"/>
          <w:sz w:val="24"/>
          <w:szCs w:val="24"/>
        </w:rPr>
        <w:t>相关交易业务实质，评价公司前次差错更正后的报表是否符合相关业务实质和企业会计准则的规定</w:t>
      </w:r>
      <w:r w:rsidRPr="00B51B7C">
        <w:rPr>
          <w:rFonts w:asciiTheme="minorEastAsia" w:hAnsiTheme="minorEastAsia" w:cs="Times" w:hint="eastAsia"/>
          <w:kern w:val="0"/>
          <w:sz w:val="24"/>
          <w:szCs w:val="24"/>
        </w:rPr>
        <w:t>；</w:t>
      </w:r>
    </w:p>
    <w:p w14:paraId="22147FFB" w14:textId="0B2BE934" w:rsidR="00051509" w:rsidRPr="00B51B7C" w:rsidRDefault="00051509" w:rsidP="0005150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w:t>
      </w:r>
      <w:r w:rsidR="00CF75F4" w:rsidRPr="00B51B7C">
        <w:rPr>
          <w:rFonts w:asciiTheme="minorEastAsia" w:hAnsiTheme="minorEastAsia" w:cs="Times" w:hint="eastAsia"/>
          <w:kern w:val="0"/>
          <w:sz w:val="24"/>
          <w:szCs w:val="24"/>
        </w:rPr>
        <w:t>提请管理层对前期财务报表追溯重述，评价虚假记载涉及的会计差错更正事项是否准确、完整，评价对审计报告意见类型的影响</w:t>
      </w:r>
      <w:r w:rsidR="001540A8" w:rsidRPr="00B51B7C">
        <w:rPr>
          <w:rFonts w:asciiTheme="minorEastAsia" w:hAnsiTheme="minorEastAsia" w:cs="Times" w:hint="eastAsia"/>
          <w:kern w:val="0"/>
          <w:sz w:val="24"/>
          <w:szCs w:val="24"/>
        </w:rPr>
        <w:t>。</w:t>
      </w:r>
    </w:p>
    <w:p w14:paraId="10F98BE3" w14:textId="77777777" w:rsidR="00D42D3C" w:rsidRPr="00B51B7C" w:rsidRDefault="00694E4C" w:rsidP="00694E4C">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经核查，会计师认为：</w:t>
      </w:r>
    </w:p>
    <w:p w14:paraId="73468B25" w14:textId="17227405" w:rsidR="00694E4C" w:rsidRPr="00B51B7C" w:rsidRDefault="00694E4C" w:rsidP="0073077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公司</w:t>
      </w:r>
      <w:r w:rsidR="00E45A75" w:rsidRPr="00B51B7C">
        <w:rPr>
          <w:rFonts w:asciiTheme="minorEastAsia" w:hAnsiTheme="minorEastAsia" w:cs="Times" w:hint="eastAsia"/>
          <w:kern w:val="0"/>
          <w:sz w:val="24"/>
          <w:szCs w:val="24"/>
        </w:rPr>
        <w:t>2023年度财务报表被出具</w:t>
      </w:r>
      <w:proofErr w:type="gramStart"/>
      <w:r w:rsidR="00E45A75" w:rsidRPr="00B51B7C">
        <w:rPr>
          <w:rFonts w:asciiTheme="minorEastAsia" w:hAnsiTheme="minorEastAsia" w:cs="Times" w:hint="eastAsia"/>
          <w:kern w:val="0"/>
          <w:sz w:val="24"/>
          <w:szCs w:val="24"/>
        </w:rPr>
        <w:t>带强调</w:t>
      </w:r>
      <w:proofErr w:type="gramEnd"/>
      <w:r w:rsidR="00E45A75" w:rsidRPr="00B51B7C">
        <w:rPr>
          <w:rFonts w:asciiTheme="minorEastAsia" w:hAnsiTheme="minorEastAsia" w:cs="Times" w:hint="eastAsia"/>
          <w:kern w:val="0"/>
          <w:sz w:val="24"/>
          <w:szCs w:val="24"/>
        </w:rPr>
        <w:t>事项段的无保留意见的审计报告中非</w:t>
      </w:r>
      <w:proofErr w:type="gramStart"/>
      <w:r w:rsidR="00E45A75" w:rsidRPr="00B51B7C">
        <w:rPr>
          <w:rFonts w:asciiTheme="minorEastAsia" w:hAnsiTheme="minorEastAsia" w:cs="Times" w:hint="eastAsia"/>
          <w:kern w:val="0"/>
          <w:sz w:val="24"/>
          <w:szCs w:val="24"/>
        </w:rPr>
        <w:t>标意见</w:t>
      </w:r>
      <w:proofErr w:type="gramEnd"/>
      <w:r w:rsidR="00E45A75" w:rsidRPr="00B51B7C">
        <w:rPr>
          <w:rFonts w:asciiTheme="minorEastAsia" w:hAnsiTheme="minorEastAsia" w:cs="Times" w:hint="eastAsia"/>
          <w:kern w:val="0"/>
          <w:sz w:val="24"/>
          <w:szCs w:val="24"/>
        </w:rPr>
        <w:t>涉及事项影响已消除，我们对公司出具的审计意见及《专项报告》结论是审慎、合理的。</w:t>
      </w:r>
    </w:p>
    <w:p w14:paraId="4FC5F1B2" w14:textId="74550492" w:rsidR="00270C1D" w:rsidRPr="00B51B7C" w:rsidRDefault="00C70709" w:rsidP="00C70709">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（2）结合本所《股票上市规则（2025年修订）》第9.3.8条规定，逐项核查并说明你公司是否符合撤销退</w:t>
      </w:r>
      <w:proofErr w:type="gramStart"/>
      <w:r w:rsidRPr="00B51B7C">
        <w:rPr>
          <w:rFonts w:asciiTheme="minorEastAsia" w:hAnsiTheme="minorEastAsia" w:cs="Times" w:hint="eastAsia"/>
          <w:b/>
          <w:bCs/>
          <w:kern w:val="0"/>
          <w:sz w:val="24"/>
          <w:szCs w:val="24"/>
        </w:rPr>
        <w:t>市风险</w:t>
      </w:r>
      <w:proofErr w:type="gramEnd"/>
      <w:r w:rsidRPr="00B51B7C">
        <w:rPr>
          <w:rFonts w:asciiTheme="minorEastAsia" w:hAnsiTheme="minorEastAsia" w:cs="Times" w:hint="eastAsia"/>
          <w:b/>
          <w:bCs/>
          <w:kern w:val="0"/>
          <w:sz w:val="24"/>
          <w:szCs w:val="24"/>
        </w:rPr>
        <w:t>警示的条件，并逐项说明你公司是否存在第9.3.12条规定的股票终止上市情形。并请你公司结合问询函回复自查并逐项说明你公司是否符合申请撤销对应其他风险警示情形的条件，并自查是否仍存在第9.8.1条中的任一情形。请年审机构、律师核查并发表明意见</w:t>
      </w:r>
      <w:r w:rsidR="00170EFB" w:rsidRPr="00B51B7C">
        <w:rPr>
          <w:rFonts w:asciiTheme="minorEastAsia" w:hAnsiTheme="minorEastAsia" w:cs="Times" w:hint="eastAsia"/>
          <w:b/>
          <w:bCs/>
          <w:kern w:val="0"/>
          <w:sz w:val="24"/>
          <w:szCs w:val="24"/>
        </w:rPr>
        <w:t>。</w:t>
      </w:r>
    </w:p>
    <w:p w14:paraId="29C6BD79" w14:textId="47A35751" w:rsidR="00C95E9E" w:rsidRPr="00B51B7C" w:rsidRDefault="009A2CFF" w:rsidP="00C70709">
      <w:pPr>
        <w:spacing w:line="360" w:lineRule="auto"/>
        <w:ind w:firstLineChars="200" w:firstLine="482"/>
        <w:rPr>
          <w:rFonts w:asciiTheme="minorEastAsia" w:hAnsiTheme="minorEastAsia" w:cs="宋体"/>
          <w:sz w:val="24"/>
          <w:szCs w:val="24"/>
          <w:lang w:val="zh-TW"/>
        </w:rPr>
      </w:pPr>
      <w:r w:rsidRPr="00B51B7C">
        <w:rPr>
          <w:rFonts w:asciiTheme="minorEastAsia" w:hAnsiTheme="minorEastAsia" w:cs="Times" w:hint="eastAsia"/>
          <w:b/>
          <w:bCs/>
          <w:kern w:val="0"/>
          <w:sz w:val="24"/>
          <w:szCs w:val="24"/>
        </w:rPr>
        <w:t>公司回复：</w:t>
      </w:r>
      <w:r w:rsidR="00C70709" w:rsidRPr="00B51B7C">
        <w:rPr>
          <w:rFonts w:asciiTheme="minorEastAsia" w:hAnsiTheme="minorEastAsia" w:cs="宋体" w:hint="eastAsia"/>
          <w:sz w:val="24"/>
          <w:szCs w:val="24"/>
          <w:lang w:val="zh-TW"/>
        </w:rPr>
        <w:t xml:space="preserve"> </w:t>
      </w:r>
    </w:p>
    <w:p w14:paraId="122B4218" w14:textId="77777777" w:rsidR="00A35CDE" w:rsidRPr="00B51B7C" w:rsidRDefault="00A35CDE" w:rsidP="00A35CDE">
      <w:pPr>
        <w:spacing w:line="360" w:lineRule="auto"/>
        <w:ind w:firstLineChars="200" w:firstLine="480"/>
        <w:rPr>
          <w:rFonts w:asciiTheme="minorEastAsia" w:hAnsiTheme="minorEastAsia"/>
          <w:sz w:val="24"/>
        </w:rPr>
      </w:pPr>
      <w:bookmarkStart w:id="3" w:name="OLE_LINK25"/>
      <w:r w:rsidRPr="00B51B7C">
        <w:rPr>
          <w:rFonts w:asciiTheme="minorEastAsia" w:hAnsiTheme="minorEastAsia" w:hint="eastAsia"/>
          <w:sz w:val="24"/>
        </w:rPr>
        <w:t>（一）经逐项自查，公司认为自身符合申请撤销退</w:t>
      </w:r>
      <w:proofErr w:type="gramStart"/>
      <w:r w:rsidRPr="00B51B7C">
        <w:rPr>
          <w:rFonts w:asciiTheme="minorEastAsia" w:hAnsiTheme="minorEastAsia" w:hint="eastAsia"/>
          <w:sz w:val="24"/>
        </w:rPr>
        <w:t>市风险</w:t>
      </w:r>
      <w:proofErr w:type="gramEnd"/>
      <w:r w:rsidRPr="00B51B7C">
        <w:rPr>
          <w:rFonts w:asciiTheme="minorEastAsia" w:hAnsiTheme="minorEastAsia" w:hint="eastAsia"/>
          <w:sz w:val="24"/>
        </w:rPr>
        <w:t>警示的条件；不存在《股票上市规则（2025年修订）》（以下简称“《上市规则》”）第 9.3.12 条规定的股票终止上市情形。</w:t>
      </w:r>
    </w:p>
    <w:p w14:paraId="20934632" w14:textId="77777777" w:rsidR="00A35CDE" w:rsidRPr="00B51B7C" w:rsidRDefault="00A35CDE" w:rsidP="00A35CDE">
      <w:pPr>
        <w:spacing w:line="360" w:lineRule="auto"/>
        <w:ind w:firstLineChars="200" w:firstLine="480"/>
        <w:rPr>
          <w:rFonts w:asciiTheme="minorEastAsia" w:hAnsiTheme="minorEastAsia"/>
          <w:sz w:val="24"/>
        </w:rPr>
      </w:pPr>
      <w:r w:rsidRPr="00B51B7C">
        <w:rPr>
          <w:rFonts w:asciiTheme="minorEastAsia" w:hAnsiTheme="minorEastAsia"/>
          <w:sz w:val="24"/>
        </w:rPr>
        <w:t>根据苏亚金诚会计师事务所（特殊普通合伙）出具的 2023 年度审计报告，公司 2023 年度末合并口径经审计净资产为负值，触及《上市规则》第 9.3.1 条的相关规定，公司股票交易被实施退</w:t>
      </w:r>
      <w:proofErr w:type="gramStart"/>
      <w:r w:rsidRPr="00B51B7C">
        <w:rPr>
          <w:rFonts w:asciiTheme="minorEastAsia" w:hAnsiTheme="minorEastAsia"/>
          <w:sz w:val="24"/>
        </w:rPr>
        <w:t>市风险</w:t>
      </w:r>
      <w:proofErr w:type="gramEnd"/>
      <w:r w:rsidRPr="00B51B7C">
        <w:rPr>
          <w:rFonts w:asciiTheme="minorEastAsia" w:hAnsiTheme="minorEastAsia"/>
          <w:sz w:val="24"/>
        </w:rPr>
        <w:t>警示。</w:t>
      </w:r>
    </w:p>
    <w:p w14:paraId="4CF8BDD6" w14:textId="77777777" w:rsidR="00A35CDE" w:rsidRPr="00B51B7C" w:rsidRDefault="00A35CDE" w:rsidP="00A35CDE">
      <w:pPr>
        <w:spacing w:line="360" w:lineRule="auto"/>
        <w:ind w:firstLineChars="200" w:firstLine="480"/>
        <w:rPr>
          <w:rFonts w:asciiTheme="minorEastAsia" w:hAnsiTheme="minorEastAsia"/>
          <w:sz w:val="24"/>
        </w:rPr>
      </w:pPr>
      <w:r w:rsidRPr="00B51B7C">
        <w:rPr>
          <w:rFonts w:asciiTheme="minorEastAsia" w:hAnsiTheme="minorEastAsia" w:hint="eastAsia"/>
          <w:sz w:val="24"/>
        </w:rPr>
        <w:t>2</w:t>
      </w:r>
      <w:r w:rsidRPr="00B51B7C">
        <w:rPr>
          <w:rFonts w:asciiTheme="minorEastAsia" w:hAnsiTheme="minorEastAsia"/>
          <w:sz w:val="24"/>
        </w:rPr>
        <w:t>024</w:t>
      </w:r>
      <w:r w:rsidRPr="00B51B7C">
        <w:rPr>
          <w:rFonts w:asciiTheme="minorEastAsia" w:hAnsiTheme="minorEastAsia" w:hint="eastAsia"/>
          <w:sz w:val="24"/>
        </w:rPr>
        <w:t>年底公司重整计划执行完毕，</w:t>
      </w:r>
      <w:r w:rsidRPr="00B51B7C">
        <w:rPr>
          <w:rFonts w:asciiTheme="minorEastAsia" w:hAnsiTheme="minorEastAsia"/>
          <w:sz w:val="24"/>
        </w:rPr>
        <w:t xml:space="preserve">苏亚金诚对公司 2024 年度财务报告出具了标准无保留意见的《审计报告》，2024年度末归属于母公司的所有者权益为14.20 亿元，公司2024 年度实现营业收入23.58亿元，营业收入扣除与主营业务无关的业务收入和不具备商业实质的收入后为23.40 亿元。 因此，公司因 </w:t>
      </w:r>
      <w:r w:rsidRPr="00B51B7C">
        <w:rPr>
          <w:rFonts w:asciiTheme="minorEastAsia" w:hAnsiTheme="minorEastAsia"/>
          <w:sz w:val="24"/>
        </w:rPr>
        <w:lastRenderedPageBreak/>
        <w:t>2023 年度末合并口径经审计净资产为负值而触及的退</w:t>
      </w:r>
      <w:proofErr w:type="gramStart"/>
      <w:r w:rsidRPr="00B51B7C">
        <w:rPr>
          <w:rFonts w:asciiTheme="minorEastAsia" w:hAnsiTheme="minorEastAsia"/>
          <w:sz w:val="24"/>
        </w:rPr>
        <w:t>市风险</w:t>
      </w:r>
      <w:proofErr w:type="gramEnd"/>
      <w:r w:rsidRPr="00B51B7C">
        <w:rPr>
          <w:rFonts w:asciiTheme="minorEastAsia" w:hAnsiTheme="minorEastAsia"/>
          <w:sz w:val="24"/>
        </w:rPr>
        <w:t>警示情形已经消除</w:t>
      </w:r>
      <w:r w:rsidRPr="00B51B7C">
        <w:rPr>
          <w:rFonts w:asciiTheme="minorEastAsia" w:hAnsiTheme="minorEastAsia" w:hint="eastAsia"/>
          <w:sz w:val="24"/>
        </w:rPr>
        <w:t>；</w:t>
      </w:r>
      <w:r w:rsidRPr="00B51B7C">
        <w:rPr>
          <w:rFonts w:asciiTheme="minorEastAsia" w:hAnsiTheme="minorEastAsia"/>
          <w:sz w:val="24"/>
        </w:rPr>
        <w:t>且对照《</w:t>
      </w:r>
      <w:r w:rsidRPr="00B51B7C">
        <w:rPr>
          <w:rFonts w:asciiTheme="minorEastAsia" w:hAnsiTheme="minorEastAsia" w:hint="eastAsia"/>
          <w:sz w:val="24"/>
        </w:rPr>
        <w:t>深圳证券交易所</w:t>
      </w:r>
      <w:r w:rsidRPr="00B51B7C">
        <w:rPr>
          <w:rFonts w:asciiTheme="minorEastAsia" w:hAnsiTheme="minorEastAsia"/>
          <w:sz w:val="24"/>
        </w:rPr>
        <w:t>股票上市规则》的</w:t>
      </w:r>
      <w:r w:rsidRPr="00B51B7C">
        <w:rPr>
          <w:rFonts w:asciiTheme="minorEastAsia" w:hAnsiTheme="minorEastAsia" w:hint="eastAsia"/>
          <w:sz w:val="24"/>
        </w:rPr>
        <w:t>9.</w:t>
      </w:r>
      <w:r w:rsidRPr="00B51B7C">
        <w:rPr>
          <w:rFonts w:asciiTheme="minorEastAsia" w:hAnsiTheme="minorEastAsia"/>
          <w:sz w:val="24"/>
        </w:rPr>
        <w:t>3</w:t>
      </w:r>
      <w:r w:rsidRPr="00B51B7C">
        <w:rPr>
          <w:rFonts w:asciiTheme="minorEastAsia" w:hAnsiTheme="minorEastAsia" w:hint="eastAsia"/>
          <w:sz w:val="24"/>
        </w:rPr>
        <w:t>.</w:t>
      </w:r>
      <w:r w:rsidRPr="00B51B7C">
        <w:rPr>
          <w:rFonts w:asciiTheme="minorEastAsia" w:hAnsiTheme="minorEastAsia"/>
          <w:sz w:val="24"/>
        </w:rPr>
        <w:t>1</w:t>
      </w:r>
      <w:r w:rsidRPr="00B51B7C">
        <w:rPr>
          <w:rFonts w:asciiTheme="minorEastAsia" w:hAnsiTheme="minorEastAsia" w:hint="eastAsia"/>
          <w:sz w:val="24"/>
        </w:rPr>
        <w:t>条</w:t>
      </w:r>
      <w:r w:rsidRPr="00B51B7C">
        <w:rPr>
          <w:rFonts w:asciiTheme="minorEastAsia" w:hAnsiTheme="minorEastAsia"/>
          <w:sz w:val="24"/>
        </w:rPr>
        <w:t>规定自查，公司亦不存在其他被实施退</w:t>
      </w:r>
      <w:proofErr w:type="gramStart"/>
      <w:r w:rsidRPr="00B51B7C">
        <w:rPr>
          <w:rFonts w:asciiTheme="minorEastAsia" w:hAnsiTheme="minorEastAsia"/>
          <w:sz w:val="24"/>
        </w:rPr>
        <w:t>市风险</w:t>
      </w:r>
      <w:proofErr w:type="gramEnd"/>
      <w:r w:rsidRPr="00B51B7C">
        <w:rPr>
          <w:rFonts w:asciiTheme="minorEastAsia" w:hAnsiTheme="minorEastAsia"/>
          <w:sz w:val="24"/>
        </w:rPr>
        <w:t>警示的情形。</w:t>
      </w:r>
    </w:p>
    <w:p w14:paraId="7D979421" w14:textId="77777777" w:rsidR="00A35CDE" w:rsidRPr="00B51B7C" w:rsidRDefault="00A35CDE" w:rsidP="002334DA">
      <w:pPr>
        <w:pStyle w:val="af2"/>
        <w:spacing w:beforeAutospacing="0" w:afterAutospacing="0"/>
        <w:ind w:firstLineChars="200" w:firstLine="480"/>
        <w:rPr>
          <w:rFonts w:asciiTheme="minorEastAsia" w:eastAsiaTheme="minorEastAsia" w:hAnsiTheme="minorEastAsia"/>
        </w:rPr>
      </w:pPr>
      <w:r w:rsidRPr="00B51B7C">
        <w:rPr>
          <w:rFonts w:asciiTheme="minorEastAsia" w:eastAsiaTheme="minorEastAsia" w:hAnsiTheme="minorEastAsia" w:hint="eastAsia"/>
        </w:rPr>
        <w:t>根据《上市规则》</w:t>
      </w:r>
      <w:r w:rsidRPr="00B51B7C">
        <w:rPr>
          <w:rFonts w:asciiTheme="minorEastAsia" w:eastAsiaTheme="minorEastAsia" w:hAnsiTheme="minorEastAsia"/>
        </w:rPr>
        <w:t>9</w:t>
      </w:r>
      <w:r w:rsidRPr="00B51B7C">
        <w:rPr>
          <w:rFonts w:asciiTheme="minorEastAsia" w:eastAsiaTheme="minorEastAsia" w:hAnsiTheme="minorEastAsia" w:hint="eastAsia"/>
        </w:rPr>
        <w:t>.</w:t>
      </w:r>
      <w:r w:rsidRPr="00B51B7C">
        <w:rPr>
          <w:rFonts w:asciiTheme="minorEastAsia" w:eastAsiaTheme="minorEastAsia" w:hAnsiTheme="minorEastAsia"/>
        </w:rPr>
        <w:t>3</w:t>
      </w:r>
      <w:r w:rsidRPr="00B51B7C">
        <w:rPr>
          <w:rFonts w:asciiTheme="minorEastAsia" w:eastAsiaTheme="minorEastAsia" w:hAnsiTheme="minorEastAsia" w:hint="eastAsia"/>
        </w:rPr>
        <w:t>.</w:t>
      </w:r>
      <w:r w:rsidRPr="00B51B7C">
        <w:rPr>
          <w:rFonts w:asciiTheme="minorEastAsia" w:eastAsiaTheme="minorEastAsia" w:hAnsiTheme="minorEastAsia"/>
        </w:rPr>
        <w:t>12</w:t>
      </w:r>
      <w:r w:rsidRPr="00B51B7C">
        <w:rPr>
          <w:rFonts w:asciiTheme="minorEastAsia" w:eastAsiaTheme="minorEastAsia" w:hAnsiTheme="minorEastAsia" w:hint="eastAsia"/>
        </w:rPr>
        <w:t>条逐条自查，公司股票不存在终止上市情形。自查情况具体如下：</w:t>
      </w:r>
    </w:p>
    <w:tbl>
      <w:tblPr>
        <w:tblStyle w:val="ae"/>
        <w:tblW w:w="9235" w:type="dxa"/>
        <w:jc w:val="center"/>
        <w:tblLook w:val="04A0" w:firstRow="1" w:lastRow="0" w:firstColumn="1" w:lastColumn="0" w:noHBand="0" w:noVBand="1"/>
      </w:tblPr>
      <w:tblGrid>
        <w:gridCol w:w="3571"/>
        <w:gridCol w:w="4197"/>
        <w:gridCol w:w="1467"/>
      </w:tblGrid>
      <w:tr w:rsidR="00A35CDE" w:rsidRPr="00B51B7C" w14:paraId="53378321" w14:textId="77777777" w:rsidTr="003C6F37">
        <w:trPr>
          <w:jc w:val="center"/>
        </w:trPr>
        <w:tc>
          <w:tcPr>
            <w:tcW w:w="3571" w:type="dxa"/>
            <w:vAlign w:val="center"/>
          </w:tcPr>
          <w:p w14:paraId="3B1AAA94" w14:textId="77777777" w:rsidR="00A35CDE" w:rsidRPr="00B51B7C" w:rsidRDefault="00A35CDE"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9.3.12 条款内容</w:t>
            </w:r>
          </w:p>
        </w:tc>
        <w:tc>
          <w:tcPr>
            <w:tcW w:w="4197" w:type="dxa"/>
            <w:vAlign w:val="center"/>
          </w:tcPr>
          <w:p w14:paraId="090EBB86" w14:textId="77777777" w:rsidR="00A35CDE" w:rsidRPr="00B51B7C" w:rsidRDefault="00A35CDE"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公司情况</w:t>
            </w:r>
          </w:p>
        </w:tc>
        <w:tc>
          <w:tcPr>
            <w:tcW w:w="1467" w:type="dxa"/>
          </w:tcPr>
          <w:p w14:paraId="153CA94C" w14:textId="77777777" w:rsidR="00A35CDE" w:rsidRPr="00B51B7C" w:rsidRDefault="00A35CDE"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是否存在终止上市情形</w:t>
            </w:r>
          </w:p>
        </w:tc>
      </w:tr>
      <w:tr w:rsidR="00A35CDE" w:rsidRPr="00B51B7C" w14:paraId="295A8E94" w14:textId="77777777" w:rsidTr="003C6F37">
        <w:trPr>
          <w:jc w:val="center"/>
        </w:trPr>
        <w:tc>
          <w:tcPr>
            <w:tcW w:w="3571" w:type="dxa"/>
            <w:vAlign w:val="center"/>
          </w:tcPr>
          <w:p w14:paraId="13AE5D83" w14:textId="77777777" w:rsidR="00A35CDE" w:rsidRPr="00B51B7C" w:rsidRDefault="00A35CDE" w:rsidP="00BF7747">
            <w:pPr>
              <w:spacing w:line="276" w:lineRule="auto"/>
              <w:rPr>
                <w:rFonts w:asciiTheme="minorEastAsia" w:hAnsiTheme="minorEastAsia"/>
                <w:sz w:val="24"/>
              </w:rPr>
            </w:pPr>
            <w:r w:rsidRPr="00B51B7C">
              <w:rPr>
                <w:rFonts w:asciiTheme="minorEastAsia" w:hAnsiTheme="minorEastAsia"/>
              </w:rPr>
              <w:t>（</w:t>
            </w:r>
            <w:r w:rsidRPr="00B51B7C">
              <w:rPr>
                <w:rFonts w:asciiTheme="minorEastAsia" w:hAnsiTheme="minorEastAsia" w:hint="eastAsia"/>
              </w:rPr>
              <w:t>一</w:t>
            </w:r>
            <w:r w:rsidRPr="00B51B7C">
              <w:rPr>
                <w:rFonts w:asciiTheme="minorEastAsia" w:hAnsiTheme="minorEastAsia"/>
              </w:rPr>
              <w:t>）经审计的利润总额、净利润、扣除非经常性损益后的净利润三者孰低为负值，且扣除后的营业收入低于3亿元</w:t>
            </w:r>
            <w:r w:rsidRPr="00B51B7C">
              <w:rPr>
                <w:rFonts w:asciiTheme="minorEastAsia" w:hAnsiTheme="minorEastAsia" w:hint="eastAsia"/>
              </w:rPr>
              <w:t>。</w:t>
            </w:r>
          </w:p>
        </w:tc>
        <w:tc>
          <w:tcPr>
            <w:tcW w:w="4197" w:type="dxa"/>
          </w:tcPr>
          <w:p w14:paraId="535B4B17" w14:textId="644B0B23"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公司</w:t>
            </w:r>
            <w:r w:rsidR="00B51B7C">
              <w:rPr>
                <w:rFonts w:asciiTheme="minorEastAsia" w:hAnsiTheme="minorEastAsia" w:hint="eastAsia"/>
                <w:szCs w:val="21"/>
              </w:rPr>
              <w:t>2024</w:t>
            </w:r>
            <w:r w:rsidRPr="00B51B7C">
              <w:rPr>
                <w:rFonts w:asciiTheme="minorEastAsia" w:hAnsiTheme="minorEastAsia" w:hint="eastAsia"/>
                <w:szCs w:val="21"/>
              </w:rPr>
              <w:t>年度经审计的利润总额为</w:t>
            </w:r>
            <w:r w:rsidR="00BF7747" w:rsidRPr="00B51B7C">
              <w:rPr>
                <w:rFonts w:asciiTheme="minorEastAsia" w:hAnsiTheme="minorEastAsia" w:hint="eastAsia"/>
                <w:szCs w:val="21"/>
              </w:rPr>
              <w:t>：</w:t>
            </w:r>
            <w:r w:rsidRPr="00B51B7C">
              <w:rPr>
                <w:rFonts w:asciiTheme="minorEastAsia" w:hAnsiTheme="minorEastAsia" w:hint="eastAsia"/>
                <w:szCs w:val="21"/>
              </w:rPr>
              <w:t>-11.58 亿元、</w:t>
            </w:r>
            <w:proofErr w:type="gramStart"/>
            <w:r w:rsidRPr="00B51B7C">
              <w:rPr>
                <w:rFonts w:asciiTheme="minorEastAsia" w:hAnsiTheme="minorEastAsia" w:hint="eastAsia"/>
                <w:szCs w:val="21"/>
              </w:rPr>
              <w:t>归母净利润</w:t>
            </w:r>
            <w:proofErr w:type="gramEnd"/>
            <w:r w:rsidRPr="00B51B7C">
              <w:rPr>
                <w:rFonts w:asciiTheme="minorEastAsia" w:hAnsiTheme="minorEastAsia" w:hint="eastAsia"/>
                <w:szCs w:val="21"/>
              </w:rPr>
              <w:t>为-11.74 亿元、扣除非经常性损益后的</w:t>
            </w:r>
            <w:proofErr w:type="gramStart"/>
            <w:r w:rsidRPr="00B51B7C">
              <w:rPr>
                <w:rFonts w:asciiTheme="minorEastAsia" w:hAnsiTheme="minorEastAsia" w:hint="eastAsia"/>
                <w:szCs w:val="21"/>
              </w:rPr>
              <w:t>归母净利润</w:t>
            </w:r>
            <w:proofErr w:type="gramEnd"/>
            <w:r w:rsidR="00E80630" w:rsidRPr="00B51B7C">
              <w:rPr>
                <w:rFonts w:asciiTheme="minorEastAsia" w:hAnsiTheme="minorEastAsia" w:hint="eastAsia"/>
                <w:szCs w:val="21"/>
              </w:rPr>
              <w:t>-</w:t>
            </w:r>
            <w:r w:rsidR="00B51B7C">
              <w:rPr>
                <w:rFonts w:asciiTheme="minorEastAsia" w:hAnsiTheme="minorEastAsia" w:hint="eastAsia"/>
                <w:szCs w:val="21"/>
              </w:rPr>
              <w:t>22.52</w:t>
            </w:r>
            <w:r w:rsidRPr="00B51B7C">
              <w:rPr>
                <w:rFonts w:asciiTheme="minorEastAsia" w:hAnsiTheme="minorEastAsia" w:hint="eastAsia"/>
                <w:szCs w:val="21"/>
              </w:rPr>
              <w:t>亿元</w:t>
            </w:r>
            <w:r w:rsidR="00BF7747" w:rsidRPr="00B51B7C">
              <w:rPr>
                <w:rFonts w:asciiTheme="minorEastAsia" w:hAnsiTheme="minorEastAsia" w:hint="eastAsia"/>
                <w:szCs w:val="21"/>
              </w:rPr>
              <w:t>；</w:t>
            </w:r>
            <w:r w:rsidRPr="00B51B7C">
              <w:rPr>
                <w:rFonts w:asciiTheme="minorEastAsia" w:hAnsiTheme="minorEastAsia" w:hint="eastAsia"/>
                <w:szCs w:val="21"/>
              </w:rPr>
              <w:t>营业收入扣除后金额为23.40 亿元。</w:t>
            </w:r>
          </w:p>
        </w:tc>
        <w:tc>
          <w:tcPr>
            <w:tcW w:w="1467" w:type="dxa"/>
            <w:vAlign w:val="center"/>
          </w:tcPr>
          <w:p w14:paraId="705C8B57"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r w:rsidR="00A35CDE" w:rsidRPr="00B51B7C" w14:paraId="380A102F" w14:textId="77777777" w:rsidTr="003C6F37">
        <w:trPr>
          <w:jc w:val="center"/>
        </w:trPr>
        <w:tc>
          <w:tcPr>
            <w:tcW w:w="3571" w:type="dxa"/>
            <w:vAlign w:val="center"/>
          </w:tcPr>
          <w:p w14:paraId="121C94EB" w14:textId="77777777" w:rsidR="00A35CDE" w:rsidRPr="00B51B7C" w:rsidRDefault="00A35CDE" w:rsidP="00BF7747">
            <w:pPr>
              <w:spacing w:line="276" w:lineRule="auto"/>
              <w:rPr>
                <w:rFonts w:asciiTheme="minorEastAsia" w:hAnsiTheme="minorEastAsia"/>
                <w:sz w:val="24"/>
              </w:rPr>
            </w:pPr>
            <w:r w:rsidRPr="00B51B7C">
              <w:rPr>
                <w:rFonts w:asciiTheme="minorEastAsia" w:hAnsiTheme="minorEastAsia"/>
              </w:rPr>
              <w:t>（</w:t>
            </w:r>
            <w:r w:rsidRPr="00B51B7C">
              <w:rPr>
                <w:rFonts w:asciiTheme="minorEastAsia" w:hAnsiTheme="minorEastAsia" w:hint="eastAsia"/>
              </w:rPr>
              <w:t>二</w:t>
            </w:r>
            <w:r w:rsidRPr="00B51B7C">
              <w:rPr>
                <w:rFonts w:asciiTheme="minorEastAsia" w:hAnsiTheme="minorEastAsia"/>
              </w:rPr>
              <w:t>）经审计的期末净资产为负值。</w:t>
            </w:r>
          </w:p>
        </w:tc>
        <w:tc>
          <w:tcPr>
            <w:tcW w:w="4197" w:type="dxa"/>
          </w:tcPr>
          <w:p w14:paraId="6D89A3FB"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公司2024年</w:t>
            </w:r>
            <w:proofErr w:type="gramStart"/>
            <w:r w:rsidRPr="00B51B7C">
              <w:rPr>
                <w:rFonts w:asciiTheme="minorEastAsia" w:hAnsiTheme="minorEastAsia" w:hint="eastAsia"/>
              </w:rPr>
              <w:t>末经</w:t>
            </w:r>
            <w:proofErr w:type="gramEnd"/>
            <w:r w:rsidRPr="00B51B7C">
              <w:rPr>
                <w:rFonts w:asciiTheme="minorEastAsia" w:hAnsiTheme="minorEastAsia" w:hint="eastAsia"/>
              </w:rPr>
              <w:t>审计净资产为14.20亿元。</w:t>
            </w:r>
          </w:p>
        </w:tc>
        <w:tc>
          <w:tcPr>
            <w:tcW w:w="1467" w:type="dxa"/>
            <w:vAlign w:val="center"/>
          </w:tcPr>
          <w:p w14:paraId="5464BF41"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r w:rsidR="00A35CDE" w:rsidRPr="00B51B7C" w14:paraId="4EF54C48" w14:textId="77777777" w:rsidTr="003C6F37">
        <w:trPr>
          <w:jc w:val="center"/>
        </w:trPr>
        <w:tc>
          <w:tcPr>
            <w:tcW w:w="3571" w:type="dxa"/>
            <w:vAlign w:val="center"/>
          </w:tcPr>
          <w:p w14:paraId="751BA04E"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rPr>
              <w:t>（</w:t>
            </w:r>
            <w:r w:rsidRPr="00B51B7C">
              <w:rPr>
                <w:rFonts w:asciiTheme="minorEastAsia" w:hAnsiTheme="minorEastAsia" w:hint="eastAsia"/>
              </w:rPr>
              <w:t>三</w:t>
            </w:r>
            <w:r w:rsidRPr="00B51B7C">
              <w:rPr>
                <w:rFonts w:asciiTheme="minorEastAsia" w:hAnsiTheme="minorEastAsia"/>
              </w:rPr>
              <w:t>）财务会计报告被出具保留意见、无法表示意见或者否定意见的审计报告。</w:t>
            </w:r>
          </w:p>
        </w:tc>
        <w:tc>
          <w:tcPr>
            <w:tcW w:w="4197" w:type="dxa"/>
          </w:tcPr>
          <w:p w14:paraId="3FE1CA3F"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公司2024年度由</w:t>
            </w:r>
            <w:r w:rsidRPr="00B51B7C">
              <w:rPr>
                <w:rFonts w:asciiTheme="minorEastAsia" w:hAnsiTheme="minorEastAsia"/>
              </w:rPr>
              <w:t>苏亚金诚会计师事务所(特殊普通合伙)</w:t>
            </w:r>
            <w:r w:rsidRPr="00B51B7C">
              <w:rPr>
                <w:rFonts w:asciiTheme="minorEastAsia" w:hAnsiTheme="minorEastAsia" w:hint="eastAsia"/>
              </w:rPr>
              <w:t>出具标准无保留意见的审计报告（</w:t>
            </w:r>
            <w:proofErr w:type="gramStart"/>
            <w:r w:rsidRPr="00B51B7C">
              <w:rPr>
                <w:rFonts w:asciiTheme="minorEastAsia" w:hAnsiTheme="minorEastAsia" w:hint="eastAsia"/>
              </w:rPr>
              <w:t>苏亚审〔2025〕</w:t>
            </w:r>
            <w:proofErr w:type="gramEnd"/>
            <w:r w:rsidRPr="00B51B7C">
              <w:rPr>
                <w:rFonts w:asciiTheme="minorEastAsia" w:hAnsiTheme="minorEastAsia" w:hint="eastAsia"/>
              </w:rPr>
              <w:t>118 号）。</w:t>
            </w:r>
          </w:p>
        </w:tc>
        <w:tc>
          <w:tcPr>
            <w:tcW w:w="1467" w:type="dxa"/>
            <w:vAlign w:val="center"/>
          </w:tcPr>
          <w:p w14:paraId="54189ABE"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r w:rsidR="00A35CDE" w:rsidRPr="00B51B7C" w14:paraId="1799BBA8" w14:textId="77777777" w:rsidTr="003C6F37">
        <w:trPr>
          <w:jc w:val="center"/>
        </w:trPr>
        <w:tc>
          <w:tcPr>
            <w:tcW w:w="3571" w:type="dxa"/>
            <w:vAlign w:val="center"/>
          </w:tcPr>
          <w:p w14:paraId="337C3728"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rPr>
              <w:t>（</w:t>
            </w:r>
            <w:r w:rsidRPr="00B51B7C">
              <w:rPr>
                <w:rFonts w:asciiTheme="minorEastAsia" w:hAnsiTheme="minorEastAsia" w:hint="eastAsia"/>
              </w:rPr>
              <w:t>四</w:t>
            </w:r>
            <w:r w:rsidRPr="00B51B7C">
              <w:rPr>
                <w:rFonts w:asciiTheme="minorEastAsia" w:hAnsiTheme="minorEastAsia"/>
              </w:rPr>
              <w:t>）追溯重述后利润总额、净利润、扣除非经常性损益后的净利润三者孰低为负值，且扣除后的营业收入低于3亿元；或者追溯重述后期末净资产为负值。</w:t>
            </w:r>
          </w:p>
        </w:tc>
        <w:tc>
          <w:tcPr>
            <w:tcW w:w="4197" w:type="dxa"/>
          </w:tcPr>
          <w:p w14:paraId="3F5CBA92"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公司于2025年4月22日披露了《关于前期会计差错更正及追溯调整的公告》（公告编号：2025-062 ），公司追溯后均未触及本条款。</w:t>
            </w:r>
          </w:p>
        </w:tc>
        <w:tc>
          <w:tcPr>
            <w:tcW w:w="1467" w:type="dxa"/>
            <w:vAlign w:val="center"/>
          </w:tcPr>
          <w:p w14:paraId="636E3FFD"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r w:rsidR="00A35CDE" w:rsidRPr="00B51B7C" w14:paraId="28276966" w14:textId="77777777" w:rsidTr="003C6F37">
        <w:trPr>
          <w:jc w:val="center"/>
        </w:trPr>
        <w:tc>
          <w:tcPr>
            <w:tcW w:w="3571" w:type="dxa"/>
            <w:vAlign w:val="center"/>
          </w:tcPr>
          <w:p w14:paraId="7FC0E156"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rPr>
              <w:t>（</w:t>
            </w:r>
            <w:r w:rsidRPr="00B51B7C">
              <w:rPr>
                <w:rFonts w:asciiTheme="minorEastAsia" w:hAnsiTheme="minorEastAsia" w:hint="eastAsia"/>
              </w:rPr>
              <w:t>五</w:t>
            </w:r>
            <w:r w:rsidRPr="00B51B7C">
              <w:rPr>
                <w:rFonts w:asciiTheme="minorEastAsia" w:hAnsiTheme="minorEastAsia"/>
              </w:rPr>
              <w:t>）财务报告内部控制被出具无法表示意见或者否定意见的审计报告。</w:t>
            </w:r>
          </w:p>
        </w:tc>
        <w:tc>
          <w:tcPr>
            <w:tcW w:w="4197" w:type="dxa"/>
          </w:tcPr>
          <w:p w14:paraId="2591A11F"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公司2024年度由</w:t>
            </w:r>
            <w:r w:rsidRPr="00B51B7C">
              <w:rPr>
                <w:rFonts w:asciiTheme="minorEastAsia" w:hAnsiTheme="minorEastAsia"/>
              </w:rPr>
              <w:t>苏亚金诚会计师事务所(特殊普通合伙)</w:t>
            </w:r>
            <w:r w:rsidRPr="00B51B7C">
              <w:rPr>
                <w:rFonts w:asciiTheme="minorEastAsia" w:hAnsiTheme="minorEastAsia" w:hint="eastAsia"/>
              </w:rPr>
              <w:t>出具标准无保留意见的内部控制审计报告（苏</w:t>
            </w:r>
            <w:proofErr w:type="gramStart"/>
            <w:r w:rsidRPr="00B51B7C">
              <w:rPr>
                <w:rFonts w:asciiTheme="minorEastAsia" w:hAnsiTheme="minorEastAsia" w:hint="eastAsia"/>
              </w:rPr>
              <w:t>亚审内</w:t>
            </w:r>
            <w:proofErr w:type="gramEnd"/>
            <w:r w:rsidRPr="00B51B7C">
              <w:rPr>
                <w:rFonts w:asciiTheme="minorEastAsia" w:hAnsiTheme="minorEastAsia" w:hint="eastAsia"/>
              </w:rPr>
              <w:t>〔2025〕3号）。</w:t>
            </w:r>
          </w:p>
        </w:tc>
        <w:tc>
          <w:tcPr>
            <w:tcW w:w="1467" w:type="dxa"/>
            <w:vAlign w:val="center"/>
          </w:tcPr>
          <w:p w14:paraId="5EDEE5EC"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r w:rsidR="00A35CDE" w:rsidRPr="00B51B7C" w14:paraId="305D14C5" w14:textId="77777777" w:rsidTr="003C6F37">
        <w:trPr>
          <w:jc w:val="center"/>
        </w:trPr>
        <w:tc>
          <w:tcPr>
            <w:tcW w:w="3571" w:type="dxa"/>
            <w:vAlign w:val="center"/>
          </w:tcPr>
          <w:p w14:paraId="0B033FA8"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rPr>
              <w:t>（</w:t>
            </w:r>
            <w:r w:rsidRPr="00B51B7C">
              <w:rPr>
                <w:rFonts w:asciiTheme="minorEastAsia" w:hAnsiTheme="minorEastAsia" w:hint="eastAsia"/>
              </w:rPr>
              <w:t>六</w:t>
            </w:r>
            <w:r w:rsidRPr="00B51B7C">
              <w:rPr>
                <w:rFonts w:asciiTheme="minorEastAsia" w:hAnsiTheme="minorEastAsia"/>
              </w:rPr>
              <w:t>）未按照规定披露内部控制审计报告，因实施完成破产重整、重组上市或者重大资产重组按照有关规定无法披露的除外。</w:t>
            </w:r>
          </w:p>
        </w:tc>
        <w:tc>
          <w:tcPr>
            <w:tcW w:w="4197" w:type="dxa"/>
          </w:tcPr>
          <w:p w14:paraId="16ADBC18" w14:textId="77777777" w:rsidR="00A35CDE" w:rsidRPr="00B51B7C" w:rsidRDefault="00A35CDE" w:rsidP="00BF7747">
            <w:pPr>
              <w:spacing w:line="276" w:lineRule="auto"/>
              <w:rPr>
                <w:rFonts w:asciiTheme="minorEastAsia" w:hAnsiTheme="minorEastAsia"/>
                <w:sz w:val="24"/>
              </w:rPr>
            </w:pPr>
            <w:r w:rsidRPr="00B51B7C">
              <w:rPr>
                <w:rFonts w:asciiTheme="minorEastAsia" w:hAnsiTheme="minorEastAsia" w:hint="eastAsia"/>
              </w:rPr>
              <w:t>公司已于2025年4月22日披露了，由</w:t>
            </w:r>
            <w:r w:rsidRPr="00B51B7C">
              <w:rPr>
                <w:rFonts w:asciiTheme="minorEastAsia" w:hAnsiTheme="minorEastAsia"/>
              </w:rPr>
              <w:t>苏亚金诚会计师事务所(特殊普通合伙)</w:t>
            </w:r>
            <w:r w:rsidRPr="00B51B7C">
              <w:rPr>
                <w:rFonts w:asciiTheme="minorEastAsia" w:hAnsiTheme="minorEastAsia" w:hint="eastAsia"/>
              </w:rPr>
              <w:t>出具的标准无保留意见的内部控制审计报告（苏</w:t>
            </w:r>
            <w:proofErr w:type="gramStart"/>
            <w:r w:rsidRPr="00B51B7C">
              <w:rPr>
                <w:rFonts w:asciiTheme="minorEastAsia" w:hAnsiTheme="minorEastAsia" w:hint="eastAsia"/>
              </w:rPr>
              <w:t>亚审内</w:t>
            </w:r>
            <w:proofErr w:type="gramEnd"/>
            <w:r w:rsidRPr="00B51B7C">
              <w:rPr>
                <w:rFonts w:asciiTheme="minorEastAsia" w:hAnsiTheme="minorEastAsia" w:hint="eastAsia"/>
              </w:rPr>
              <w:t>〔2025〕3号）</w:t>
            </w:r>
          </w:p>
        </w:tc>
        <w:tc>
          <w:tcPr>
            <w:tcW w:w="1467" w:type="dxa"/>
            <w:vAlign w:val="center"/>
          </w:tcPr>
          <w:p w14:paraId="221590B4"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r w:rsidR="00A35CDE" w:rsidRPr="00B51B7C" w14:paraId="232870A7" w14:textId="77777777" w:rsidTr="003C6F37">
        <w:trPr>
          <w:jc w:val="center"/>
        </w:trPr>
        <w:tc>
          <w:tcPr>
            <w:tcW w:w="3571" w:type="dxa"/>
            <w:vAlign w:val="center"/>
          </w:tcPr>
          <w:p w14:paraId="7DF29910"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（七）</w:t>
            </w:r>
            <w:r w:rsidRPr="00B51B7C">
              <w:rPr>
                <w:rFonts w:asciiTheme="minorEastAsia" w:hAnsiTheme="minorEastAsia"/>
              </w:rPr>
              <w:t>未在法定期限内披露过半数董事保证真实、准确、完整的年度报告。</w:t>
            </w:r>
          </w:p>
        </w:tc>
        <w:tc>
          <w:tcPr>
            <w:tcW w:w="4197" w:type="dxa"/>
          </w:tcPr>
          <w:p w14:paraId="5EE6F04C" w14:textId="77777777" w:rsidR="00A35CDE" w:rsidRPr="00B51B7C" w:rsidRDefault="00A35CDE" w:rsidP="00BF7747">
            <w:pPr>
              <w:spacing w:line="276" w:lineRule="auto"/>
              <w:rPr>
                <w:rFonts w:asciiTheme="minorEastAsia" w:hAnsiTheme="minorEastAsia"/>
                <w:sz w:val="24"/>
              </w:rPr>
            </w:pPr>
            <w:r w:rsidRPr="00B51B7C">
              <w:rPr>
                <w:rFonts w:asciiTheme="minorEastAsia" w:hAnsiTheme="minorEastAsia" w:hint="eastAsia"/>
              </w:rPr>
              <w:t>公司已于2025年4月22日披露了公司2024年度报告，全体董事、监事及高级管理人员保证年度报告内容的</w:t>
            </w:r>
            <w:r w:rsidRPr="00B51B7C">
              <w:rPr>
                <w:rFonts w:asciiTheme="minorEastAsia" w:hAnsiTheme="minorEastAsia"/>
              </w:rPr>
              <w:t>真实、准确、完整</w:t>
            </w:r>
            <w:r w:rsidRPr="00B51B7C">
              <w:rPr>
                <w:rFonts w:asciiTheme="minorEastAsia" w:hAnsiTheme="minorEastAsia" w:hint="eastAsia"/>
              </w:rPr>
              <w:t>。</w:t>
            </w:r>
          </w:p>
        </w:tc>
        <w:tc>
          <w:tcPr>
            <w:tcW w:w="1467" w:type="dxa"/>
            <w:vAlign w:val="center"/>
          </w:tcPr>
          <w:p w14:paraId="5C9D8C9E"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r w:rsidR="00A35CDE" w:rsidRPr="00B51B7C" w14:paraId="229768BB" w14:textId="77777777" w:rsidTr="003C6F37">
        <w:trPr>
          <w:jc w:val="center"/>
        </w:trPr>
        <w:tc>
          <w:tcPr>
            <w:tcW w:w="3571" w:type="dxa"/>
            <w:vAlign w:val="center"/>
          </w:tcPr>
          <w:p w14:paraId="617675AE"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（八）虽符合第9.3.8条的规定，但未在规定期限内向本所申请撤销退</w:t>
            </w:r>
            <w:proofErr w:type="gramStart"/>
            <w:r w:rsidRPr="00B51B7C">
              <w:rPr>
                <w:rFonts w:asciiTheme="minorEastAsia" w:hAnsiTheme="minorEastAsia" w:hint="eastAsia"/>
              </w:rPr>
              <w:t>市风险</w:t>
            </w:r>
            <w:proofErr w:type="gramEnd"/>
            <w:r w:rsidRPr="00B51B7C">
              <w:rPr>
                <w:rFonts w:asciiTheme="minorEastAsia" w:hAnsiTheme="minorEastAsia" w:hint="eastAsia"/>
              </w:rPr>
              <w:t>警示</w:t>
            </w:r>
          </w:p>
        </w:tc>
        <w:tc>
          <w:tcPr>
            <w:tcW w:w="4197" w:type="dxa"/>
          </w:tcPr>
          <w:p w14:paraId="188D8B33"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公司已于2025年1月8日披露了《关于申请撤销部分退市风险警示及部分其他风险警示暨继续被实施退市风险警示及其他风险警示的公告》（公告编号：2025-002）；2</w:t>
            </w:r>
            <w:r w:rsidRPr="00B51B7C">
              <w:rPr>
                <w:rFonts w:asciiTheme="minorEastAsia" w:hAnsiTheme="minorEastAsia"/>
              </w:rPr>
              <w:t>025</w:t>
            </w:r>
            <w:r w:rsidRPr="00B51B7C">
              <w:rPr>
                <w:rFonts w:asciiTheme="minorEastAsia" w:hAnsiTheme="minorEastAsia" w:hint="eastAsia"/>
              </w:rPr>
              <w:t>年4月2</w:t>
            </w:r>
            <w:r w:rsidRPr="00B51B7C">
              <w:rPr>
                <w:rFonts w:asciiTheme="minorEastAsia" w:hAnsiTheme="minorEastAsia"/>
              </w:rPr>
              <w:t>2</w:t>
            </w:r>
            <w:r w:rsidRPr="00B51B7C">
              <w:rPr>
                <w:rFonts w:asciiTheme="minorEastAsia" w:hAnsiTheme="minorEastAsia" w:hint="eastAsia"/>
              </w:rPr>
              <w:t>日披露了《关于申请撤销退市风险警示及部分其他风险警示暨继续被实施退市风险警示及其他风险警示的公告》（公</w:t>
            </w:r>
            <w:r w:rsidRPr="00B51B7C">
              <w:rPr>
                <w:rFonts w:asciiTheme="minorEastAsia" w:hAnsiTheme="minorEastAsia" w:hint="eastAsia"/>
              </w:rPr>
              <w:lastRenderedPageBreak/>
              <w:t>告编号：2</w:t>
            </w:r>
            <w:r w:rsidRPr="00B51B7C">
              <w:rPr>
                <w:rFonts w:asciiTheme="minorEastAsia" w:hAnsiTheme="minorEastAsia"/>
              </w:rPr>
              <w:t>025</w:t>
            </w:r>
            <w:r w:rsidRPr="00B51B7C">
              <w:rPr>
                <w:rFonts w:asciiTheme="minorEastAsia" w:hAnsiTheme="minorEastAsia" w:hint="eastAsia"/>
              </w:rPr>
              <w:t>-</w:t>
            </w:r>
            <w:r w:rsidRPr="00B51B7C">
              <w:rPr>
                <w:rFonts w:asciiTheme="minorEastAsia" w:hAnsiTheme="minorEastAsia"/>
              </w:rPr>
              <w:t>057</w:t>
            </w:r>
            <w:r w:rsidRPr="00B51B7C">
              <w:rPr>
                <w:rFonts w:asciiTheme="minorEastAsia" w:hAnsiTheme="minorEastAsia" w:hint="eastAsia"/>
              </w:rPr>
              <w:t>）。</w:t>
            </w:r>
          </w:p>
          <w:p w14:paraId="0921E817"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公司已向深交所递交了《关于撤销对公司股票交易退市风险警示的申请》。</w:t>
            </w:r>
          </w:p>
        </w:tc>
        <w:tc>
          <w:tcPr>
            <w:tcW w:w="1467" w:type="dxa"/>
            <w:vAlign w:val="center"/>
          </w:tcPr>
          <w:p w14:paraId="74D1758C"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lastRenderedPageBreak/>
              <w:t>否</w:t>
            </w:r>
          </w:p>
        </w:tc>
      </w:tr>
      <w:tr w:rsidR="00A35CDE" w:rsidRPr="00B51B7C" w14:paraId="301E4AC3" w14:textId="77777777" w:rsidTr="003C6F37">
        <w:trPr>
          <w:jc w:val="center"/>
        </w:trPr>
        <w:tc>
          <w:tcPr>
            <w:tcW w:w="3571" w:type="dxa"/>
            <w:vAlign w:val="center"/>
          </w:tcPr>
          <w:p w14:paraId="2599A4ED"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（九）撤销退</w:t>
            </w:r>
            <w:proofErr w:type="gramStart"/>
            <w:r w:rsidRPr="00B51B7C">
              <w:rPr>
                <w:rFonts w:asciiTheme="minorEastAsia" w:hAnsiTheme="minorEastAsia" w:hint="eastAsia"/>
              </w:rPr>
              <w:t>市风险</w:t>
            </w:r>
            <w:proofErr w:type="gramEnd"/>
            <w:r w:rsidRPr="00B51B7C">
              <w:rPr>
                <w:rFonts w:asciiTheme="minorEastAsia" w:hAnsiTheme="minorEastAsia" w:hint="eastAsia"/>
              </w:rPr>
              <w:t>警示申请未被本所审核同意</w:t>
            </w:r>
          </w:p>
        </w:tc>
        <w:tc>
          <w:tcPr>
            <w:tcW w:w="4197" w:type="dxa"/>
          </w:tcPr>
          <w:p w14:paraId="1258ED85"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公司已于2025年4月21日向深交所递交了《关于撤销对公司股票交易退市风险警示的申请》，深交所正在审核中。</w:t>
            </w:r>
          </w:p>
        </w:tc>
        <w:tc>
          <w:tcPr>
            <w:tcW w:w="1467" w:type="dxa"/>
            <w:vAlign w:val="center"/>
          </w:tcPr>
          <w:p w14:paraId="789CBD7D" w14:textId="77777777" w:rsidR="00A35CDE" w:rsidRPr="00B51B7C" w:rsidRDefault="00A35CDE" w:rsidP="00BF7747">
            <w:pPr>
              <w:spacing w:line="276" w:lineRule="auto"/>
              <w:jc w:val="center"/>
              <w:rPr>
                <w:rFonts w:asciiTheme="minorEastAsia" w:hAnsiTheme="minorEastAsia"/>
              </w:rPr>
            </w:pPr>
            <w:r w:rsidRPr="00B51B7C">
              <w:rPr>
                <w:rFonts w:asciiTheme="minorEastAsia" w:hAnsiTheme="minorEastAsia" w:hint="eastAsia"/>
              </w:rPr>
              <w:t>否</w:t>
            </w:r>
          </w:p>
        </w:tc>
      </w:tr>
    </w:tbl>
    <w:p w14:paraId="133D809C" w14:textId="77777777" w:rsidR="00A35CDE" w:rsidRPr="00B51B7C" w:rsidRDefault="00A35CDE" w:rsidP="00A35CDE">
      <w:pPr>
        <w:spacing w:line="360" w:lineRule="auto"/>
        <w:ind w:firstLineChars="200" w:firstLine="480"/>
        <w:rPr>
          <w:rFonts w:asciiTheme="minorEastAsia" w:hAnsiTheme="minorEastAsia"/>
          <w:sz w:val="24"/>
        </w:rPr>
      </w:pPr>
      <w:r w:rsidRPr="00B51B7C">
        <w:rPr>
          <w:rFonts w:asciiTheme="minorEastAsia" w:hAnsiTheme="minorEastAsia" w:hint="eastAsia"/>
          <w:sz w:val="24"/>
        </w:rPr>
        <w:t>（二）经公司自查，公司符合申请撤销对应的其他风险警示情形的条件，仍存在第9.8.1条第（八）款被实施其他风险警示的情形，自查具体情况如下：</w:t>
      </w:r>
    </w:p>
    <w:tbl>
      <w:tblPr>
        <w:tblStyle w:val="ae"/>
        <w:tblW w:w="9351" w:type="dxa"/>
        <w:jc w:val="center"/>
        <w:tblLook w:val="04A0" w:firstRow="1" w:lastRow="0" w:firstColumn="1" w:lastColumn="0" w:noHBand="0" w:noVBand="1"/>
      </w:tblPr>
      <w:tblGrid>
        <w:gridCol w:w="3545"/>
        <w:gridCol w:w="4247"/>
        <w:gridCol w:w="1559"/>
      </w:tblGrid>
      <w:tr w:rsidR="00A35CDE" w:rsidRPr="00B51B7C" w14:paraId="23F0FC1B" w14:textId="77777777" w:rsidTr="00B51B7C">
        <w:trPr>
          <w:jc w:val="center"/>
        </w:trPr>
        <w:tc>
          <w:tcPr>
            <w:tcW w:w="3545" w:type="dxa"/>
            <w:vAlign w:val="center"/>
          </w:tcPr>
          <w:p w14:paraId="397B987F" w14:textId="77777777" w:rsidR="00A35CDE" w:rsidRPr="00B51B7C" w:rsidRDefault="00A35CDE"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9.8.1 条款内容</w:t>
            </w:r>
          </w:p>
        </w:tc>
        <w:tc>
          <w:tcPr>
            <w:tcW w:w="4247" w:type="dxa"/>
            <w:vAlign w:val="center"/>
          </w:tcPr>
          <w:p w14:paraId="5595FFFA" w14:textId="77777777" w:rsidR="00A35CDE" w:rsidRPr="00B51B7C" w:rsidRDefault="00A35CDE"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公司情况</w:t>
            </w:r>
          </w:p>
        </w:tc>
        <w:tc>
          <w:tcPr>
            <w:tcW w:w="1559" w:type="dxa"/>
          </w:tcPr>
          <w:p w14:paraId="7689EA5D" w14:textId="77777777" w:rsidR="00A35CDE" w:rsidRPr="00B51B7C" w:rsidRDefault="00A35CDE" w:rsidP="00BF7747">
            <w:pPr>
              <w:spacing w:line="276" w:lineRule="auto"/>
              <w:jc w:val="center"/>
              <w:rPr>
                <w:rFonts w:asciiTheme="minorEastAsia" w:hAnsiTheme="minorEastAsia"/>
                <w:b/>
                <w:bCs/>
                <w:sz w:val="24"/>
              </w:rPr>
            </w:pPr>
            <w:r w:rsidRPr="00B51B7C">
              <w:rPr>
                <w:rFonts w:asciiTheme="minorEastAsia" w:hAnsiTheme="minorEastAsia" w:hint="eastAsia"/>
                <w:b/>
                <w:bCs/>
                <w:sz w:val="24"/>
              </w:rPr>
              <w:t>是否存在被实施其他风险警示的情形</w:t>
            </w:r>
          </w:p>
        </w:tc>
      </w:tr>
      <w:tr w:rsidR="00A35CDE" w:rsidRPr="00B51B7C" w14:paraId="64F69C35" w14:textId="77777777" w:rsidTr="00B51B7C">
        <w:trPr>
          <w:jc w:val="center"/>
        </w:trPr>
        <w:tc>
          <w:tcPr>
            <w:tcW w:w="3545" w:type="dxa"/>
            <w:vAlign w:val="center"/>
          </w:tcPr>
          <w:p w14:paraId="6F045745"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（一）存在资金占用且情形严重；</w:t>
            </w:r>
          </w:p>
        </w:tc>
        <w:tc>
          <w:tcPr>
            <w:tcW w:w="4247" w:type="dxa"/>
          </w:tcPr>
          <w:p w14:paraId="1494EC81"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公司存在的以前年度的资金占用情况，已在2024年12月底通过重整计划执行完毕得以解决，截至2024年12月31日，公司不存在资金占用的情形。</w:t>
            </w:r>
          </w:p>
        </w:tc>
        <w:tc>
          <w:tcPr>
            <w:tcW w:w="1559" w:type="dxa"/>
            <w:vAlign w:val="center"/>
          </w:tcPr>
          <w:p w14:paraId="3041BCD9"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w:t>
            </w:r>
          </w:p>
        </w:tc>
      </w:tr>
      <w:tr w:rsidR="00A35CDE" w:rsidRPr="00B51B7C" w14:paraId="189E7AE8" w14:textId="77777777" w:rsidTr="00B51B7C">
        <w:trPr>
          <w:jc w:val="center"/>
        </w:trPr>
        <w:tc>
          <w:tcPr>
            <w:tcW w:w="3545" w:type="dxa"/>
            <w:vAlign w:val="center"/>
          </w:tcPr>
          <w:p w14:paraId="63D3931D"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（二）违反规定程序对外提供担保且情形严重；</w:t>
            </w:r>
          </w:p>
        </w:tc>
        <w:tc>
          <w:tcPr>
            <w:tcW w:w="4247" w:type="dxa"/>
          </w:tcPr>
          <w:p w14:paraId="46BFB506"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公司存在的以前年度的违规担保事项，已在2024年12月底通过重整计划执行完毕，由产业投资人按照重整协议约定的兜底方式获得妥善解决。</w:t>
            </w:r>
          </w:p>
        </w:tc>
        <w:tc>
          <w:tcPr>
            <w:tcW w:w="1559" w:type="dxa"/>
            <w:vAlign w:val="center"/>
          </w:tcPr>
          <w:p w14:paraId="439079D3"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w:t>
            </w:r>
          </w:p>
        </w:tc>
      </w:tr>
      <w:tr w:rsidR="00A35CDE" w:rsidRPr="00B51B7C" w14:paraId="58EFFB9D" w14:textId="77777777" w:rsidTr="00B51B7C">
        <w:trPr>
          <w:jc w:val="center"/>
        </w:trPr>
        <w:tc>
          <w:tcPr>
            <w:tcW w:w="3545" w:type="dxa"/>
            <w:vAlign w:val="center"/>
          </w:tcPr>
          <w:p w14:paraId="12DDD54D"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（三）董事会、股东会无法正常召开会议并形成决议；</w:t>
            </w:r>
          </w:p>
        </w:tc>
        <w:tc>
          <w:tcPr>
            <w:tcW w:w="4247" w:type="dxa"/>
          </w:tcPr>
          <w:p w14:paraId="634C953B" w14:textId="77777777" w:rsidR="00A35CDE" w:rsidRPr="00B51B7C" w:rsidRDefault="00A35CDE" w:rsidP="00BF7747">
            <w:pPr>
              <w:spacing w:line="276" w:lineRule="auto"/>
              <w:rPr>
                <w:rFonts w:asciiTheme="minorEastAsia" w:hAnsiTheme="minorEastAsia"/>
              </w:rPr>
            </w:pPr>
            <w:r w:rsidRPr="00B51B7C">
              <w:rPr>
                <w:rFonts w:asciiTheme="minorEastAsia" w:hAnsiTheme="minorEastAsia" w:hint="eastAsia"/>
              </w:rPr>
              <w:t>公司董事会、股东会均正常召开会议、形成决议并按要求进行披露。</w:t>
            </w:r>
          </w:p>
        </w:tc>
        <w:tc>
          <w:tcPr>
            <w:tcW w:w="1559" w:type="dxa"/>
            <w:vAlign w:val="center"/>
          </w:tcPr>
          <w:p w14:paraId="0C05E35C"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w:t>
            </w:r>
          </w:p>
        </w:tc>
      </w:tr>
      <w:tr w:rsidR="00A35CDE" w:rsidRPr="00B51B7C" w14:paraId="71D29E7A" w14:textId="77777777" w:rsidTr="00B51B7C">
        <w:trPr>
          <w:jc w:val="center"/>
        </w:trPr>
        <w:tc>
          <w:tcPr>
            <w:tcW w:w="3545" w:type="dxa"/>
            <w:vAlign w:val="center"/>
          </w:tcPr>
          <w:p w14:paraId="0994A2E9"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（四）最近一个会计年度财务报告内部控制被出具无法表示意见或者否定意见的审计报告，或者未按照规定披露财务报告内部控制审计报告；</w:t>
            </w:r>
          </w:p>
        </w:tc>
        <w:tc>
          <w:tcPr>
            <w:tcW w:w="4247" w:type="dxa"/>
          </w:tcPr>
          <w:p w14:paraId="263A7533" w14:textId="77777777" w:rsidR="00A35CDE" w:rsidRPr="00B51B7C" w:rsidRDefault="00A35CDE" w:rsidP="00BF7747">
            <w:pPr>
              <w:spacing w:line="276" w:lineRule="auto"/>
              <w:jc w:val="left"/>
              <w:rPr>
                <w:rFonts w:asciiTheme="minorEastAsia" w:hAnsiTheme="minorEastAsia"/>
                <w:sz w:val="24"/>
              </w:rPr>
            </w:pPr>
            <w:r w:rsidRPr="00B51B7C">
              <w:rPr>
                <w:rFonts w:asciiTheme="minorEastAsia" w:hAnsiTheme="minorEastAsia" w:hint="eastAsia"/>
              </w:rPr>
              <w:t>公司2024年度由</w:t>
            </w:r>
            <w:r w:rsidRPr="00B51B7C">
              <w:rPr>
                <w:rFonts w:asciiTheme="minorEastAsia" w:hAnsiTheme="minorEastAsia"/>
              </w:rPr>
              <w:t>苏亚金诚会计师事务所(特殊普通合伙)</w:t>
            </w:r>
            <w:r w:rsidRPr="00B51B7C">
              <w:rPr>
                <w:rFonts w:asciiTheme="minorEastAsia" w:hAnsiTheme="minorEastAsia" w:hint="eastAsia"/>
              </w:rPr>
              <w:t>出具标准无保留意见的内部控制审计报告（苏</w:t>
            </w:r>
            <w:proofErr w:type="gramStart"/>
            <w:r w:rsidRPr="00B51B7C">
              <w:rPr>
                <w:rFonts w:asciiTheme="minorEastAsia" w:hAnsiTheme="minorEastAsia" w:hint="eastAsia"/>
              </w:rPr>
              <w:t>亚审内</w:t>
            </w:r>
            <w:proofErr w:type="gramEnd"/>
            <w:r w:rsidRPr="00B51B7C">
              <w:rPr>
                <w:rFonts w:asciiTheme="minorEastAsia" w:hAnsiTheme="minorEastAsia" w:hint="eastAsia"/>
              </w:rPr>
              <w:t>〔2025〕3号），并于2025年4月22日披露。</w:t>
            </w:r>
          </w:p>
        </w:tc>
        <w:tc>
          <w:tcPr>
            <w:tcW w:w="1559" w:type="dxa"/>
          </w:tcPr>
          <w:p w14:paraId="2BAEF3FB"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否，符合申请撤销其他风险警示的条件</w:t>
            </w:r>
          </w:p>
        </w:tc>
      </w:tr>
      <w:tr w:rsidR="00A35CDE" w:rsidRPr="00B51B7C" w14:paraId="335A1724" w14:textId="77777777" w:rsidTr="00B51B7C">
        <w:trPr>
          <w:jc w:val="center"/>
        </w:trPr>
        <w:tc>
          <w:tcPr>
            <w:tcW w:w="3545" w:type="dxa"/>
            <w:vAlign w:val="center"/>
          </w:tcPr>
          <w:p w14:paraId="3816944C"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（五）生产经营活动受到严重影响且预计在三个月内不能恢复正常；</w:t>
            </w:r>
          </w:p>
        </w:tc>
        <w:tc>
          <w:tcPr>
            <w:tcW w:w="4247" w:type="dxa"/>
          </w:tcPr>
          <w:p w14:paraId="554409B1"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公司生产经营正常。</w:t>
            </w:r>
          </w:p>
        </w:tc>
        <w:tc>
          <w:tcPr>
            <w:tcW w:w="1559" w:type="dxa"/>
            <w:vAlign w:val="center"/>
          </w:tcPr>
          <w:p w14:paraId="2E349C3A"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w:t>
            </w:r>
          </w:p>
        </w:tc>
      </w:tr>
      <w:tr w:rsidR="00A35CDE" w:rsidRPr="00B51B7C" w14:paraId="084E2D78" w14:textId="77777777" w:rsidTr="00B51B7C">
        <w:trPr>
          <w:jc w:val="center"/>
        </w:trPr>
        <w:tc>
          <w:tcPr>
            <w:tcW w:w="3545" w:type="dxa"/>
            <w:vAlign w:val="center"/>
          </w:tcPr>
          <w:p w14:paraId="22369127"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（六）主要银行账号被冻结；</w:t>
            </w:r>
          </w:p>
        </w:tc>
        <w:tc>
          <w:tcPr>
            <w:tcW w:w="4247" w:type="dxa"/>
          </w:tcPr>
          <w:p w14:paraId="226B4D2D" w14:textId="77777777" w:rsidR="00A35CDE" w:rsidRPr="00B51B7C" w:rsidRDefault="00A35CDE" w:rsidP="00BF7747">
            <w:pPr>
              <w:spacing w:line="276" w:lineRule="auto"/>
              <w:jc w:val="left"/>
              <w:rPr>
                <w:rFonts w:asciiTheme="minorEastAsia" w:hAnsiTheme="minorEastAsia"/>
                <w:szCs w:val="21"/>
              </w:rPr>
            </w:pPr>
            <w:bookmarkStart w:id="4" w:name="OLE_LINK6"/>
            <w:bookmarkStart w:id="5" w:name="OLE_LINK9"/>
            <w:r w:rsidRPr="00B51B7C">
              <w:rPr>
                <w:rFonts w:asciiTheme="minorEastAsia" w:hAnsiTheme="minorEastAsia" w:hint="eastAsia"/>
                <w:szCs w:val="21"/>
              </w:rPr>
              <w:t>用于生产经营的主要银行账号未冻结。</w:t>
            </w:r>
            <w:bookmarkEnd w:id="4"/>
            <w:bookmarkEnd w:id="5"/>
          </w:p>
        </w:tc>
        <w:tc>
          <w:tcPr>
            <w:tcW w:w="1559" w:type="dxa"/>
            <w:vAlign w:val="center"/>
          </w:tcPr>
          <w:p w14:paraId="097C802E"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w:t>
            </w:r>
          </w:p>
        </w:tc>
      </w:tr>
      <w:tr w:rsidR="00A35CDE" w:rsidRPr="00B51B7C" w14:paraId="4C404AAE" w14:textId="77777777" w:rsidTr="00B51B7C">
        <w:trPr>
          <w:jc w:val="center"/>
        </w:trPr>
        <w:tc>
          <w:tcPr>
            <w:tcW w:w="3545" w:type="dxa"/>
            <w:vAlign w:val="center"/>
          </w:tcPr>
          <w:p w14:paraId="3A331662"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（七）最近三个会计年度扣除非经常性损益</w:t>
            </w:r>
            <w:proofErr w:type="gramStart"/>
            <w:r w:rsidRPr="00B51B7C">
              <w:rPr>
                <w:rFonts w:asciiTheme="minorEastAsia" w:hAnsiTheme="minorEastAsia" w:hint="eastAsia"/>
                <w:szCs w:val="21"/>
              </w:rPr>
              <w:t>前后净</w:t>
            </w:r>
            <w:proofErr w:type="gramEnd"/>
            <w:r w:rsidRPr="00B51B7C">
              <w:rPr>
                <w:rFonts w:asciiTheme="minorEastAsia" w:hAnsiTheme="minorEastAsia" w:hint="eastAsia"/>
                <w:szCs w:val="21"/>
              </w:rPr>
              <w:t>利润孰低者均为负值，且最近一个会计年度审计报告显示公司持续经营能力存在不确定性；</w:t>
            </w:r>
          </w:p>
        </w:tc>
        <w:tc>
          <w:tcPr>
            <w:tcW w:w="4247" w:type="dxa"/>
          </w:tcPr>
          <w:p w14:paraId="54EE7382" w14:textId="77777777" w:rsidR="00A35CDE" w:rsidRPr="00B51B7C" w:rsidRDefault="00A35CDE" w:rsidP="00BF7747">
            <w:pPr>
              <w:spacing w:line="276" w:lineRule="auto"/>
              <w:jc w:val="left"/>
              <w:rPr>
                <w:rFonts w:asciiTheme="minorEastAsia" w:hAnsiTheme="minorEastAsia"/>
                <w:szCs w:val="21"/>
              </w:rPr>
            </w:pPr>
            <w:r w:rsidRPr="00B51B7C">
              <w:rPr>
                <w:rFonts w:asciiTheme="minorEastAsia" w:hAnsiTheme="minorEastAsia" w:hint="eastAsia"/>
                <w:szCs w:val="21"/>
              </w:rPr>
              <w:t>公司2</w:t>
            </w:r>
            <w:r w:rsidRPr="00B51B7C">
              <w:rPr>
                <w:rFonts w:asciiTheme="minorEastAsia" w:hAnsiTheme="minorEastAsia"/>
                <w:szCs w:val="21"/>
              </w:rPr>
              <w:t>022</w:t>
            </w:r>
            <w:r w:rsidRPr="00B51B7C">
              <w:rPr>
                <w:rFonts w:asciiTheme="minorEastAsia" w:hAnsiTheme="minorEastAsia" w:hint="eastAsia"/>
                <w:szCs w:val="21"/>
              </w:rPr>
              <w:t>年、2</w:t>
            </w:r>
            <w:r w:rsidRPr="00B51B7C">
              <w:rPr>
                <w:rFonts w:asciiTheme="minorEastAsia" w:hAnsiTheme="minorEastAsia"/>
                <w:szCs w:val="21"/>
              </w:rPr>
              <w:t>023</w:t>
            </w:r>
            <w:r w:rsidRPr="00B51B7C">
              <w:rPr>
                <w:rFonts w:asciiTheme="minorEastAsia" w:hAnsiTheme="minorEastAsia" w:hint="eastAsia"/>
                <w:szCs w:val="21"/>
              </w:rPr>
              <w:t>年、2</w:t>
            </w:r>
            <w:r w:rsidRPr="00B51B7C">
              <w:rPr>
                <w:rFonts w:asciiTheme="minorEastAsia" w:hAnsiTheme="minorEastAsia"/>
                <w:szCs w:val="21"/>
              </w:rPr>
              <w:t>024</w:t>
            </w:r>
            <w:r w:rsidRPr="00B51B7C">
              <w:rPr>
                <w:rFonts w:asciiTheme="minorEastAsia" w:hAnsiTheme="minorEastAsia" w:hint="eastAsia"/>
                <w:szCs w:val="21"/>
              </w:rPr>
              <w:t>年扣除非经常性损益</w:t>
            </w:r>
            <w:proofErr w:type="gramStart"/>
            <w:r w:rsidRPr="00B51B7C">
              <w:rPr>
                <w:rFonts w:asciiTheme="minorEastAsia" w:hAnsiTheme="minorEastAsia" w:hint="eastAsia"/>
                <w:szCs w:val="21"/>
              </w:rPr>
              <w:t>前后净</w:t>
            </w:r>
            <w:proofErr w:type="gramEnd"/>
            <w:r w:rsidRPr="00B51B7C">
              <w:rPr>
                <w:rFonts w:asciiTheme="minorEastAsia" w:hAnsiTheme="minorEastAsia" w:hint="eastAsia"/>
                <w:szCs w:val="21"/>
              </w:rPr>
              <w:t>利润孰低者分别为：-</w:t>
            </w:r>
            <w:r w:rsidRPr="00B51B7C">
              <w:rPr>
                <w:rFonts w:asciiTheme="minorEastAsia" w:hAnsiTheme="minorEastAsia"/>
                <w:szCs w:val="21"/>
              </w:rPr>
              <w:t>7</w:t>
            </w:r>
            <w:r w:rsidRPr="00B51B7C">
              <w:rPr>
                <w:rFonts w:asciiTheme="minorEastAsia" w:hAnsiTheme="minorEastAsia" w:hint="eastAsia"/>
                <w:szCs w:val="21"/>
              </w:rPr>
              <w:t>.</w:t>
            </w:r>
            <w:r w:rsidRPr="00B51B7C">
              <w:rPr>
                <w:rFonts w:asciiTheme="minorEastAsia" w:hAnsiTheme="minorEastAsia"/>
                <w:szCs w:val="21"/>
              </w:rPr>
              <w:t>47</w:t>
            </w:r>
            <w:r w:rsidRPr="00B51B7C">
              <w:rPr>
                <w:rFonts w:asciiTheme="minorEastAsia" w:hAnsiTheme="minorEastAsia" w:hint="eastAsia"/>
                <w:szCs w:val="21"/>
              </w:rPr>
              <w:t>亿元、-</w:t>
            </w:r>
            <w:r w:rsidRPr="00B51B7C">
              <w:rPr>
                <w:rFonts w:asciiTheme="minorEastAsia" w:hAnsiTheme="minorEastAsia"/>
                <w:szCs w:val="21"/>
              </w:rPr>
              <w:t>14</w:t>
            </w:r>
            <w:r w:rsidRPr="00B51B7C">
              <w:rPr>
                <w:rFonts w:asciiTheme="minorEastAsia" w:hAnsiTheme="minorEastAsia" w:hint="eastAsia"/>
                <w:szCs w:val="21"/>
              </w:rPr>
              <w:t>.</w:t>
            </w:r>
            <w:r w:rsidRPr="00B51B7C">
              <w:rPr>
                <w:rFonts w:asciiTheme="minorEastAsia" w:hAnsiTheme="minorEastAsia"/>
                <w:szCs w:val="21"/>
              </w:rPr>
              <w:t>96</w:t>
            </w:r>
            <w:r w:rsidRPr="00B51B7C">
              <w:rPr>
                <w:rFonts w:asciiTheme="minorEastAsia" w:hAnsiTheme="minorEastAsia" w:hint="eastAsia"/>
                <w:szCs w:val="21"/>
              </w:rPr>
              <w:t>亿元、-</w:t>
            </w:r>
            <w:r w:rsidRPr="00B51B7C">
              <w:rPr>
                <w:rFonts w:asciiTheme="minorEastAsia" w:hAnsiTheme="minorEastAsia"/>
                <w:szCs w:val="21"/>
              </w:rPr>
              <w:t>22</w:t>
            </w:r>
            <w:r w:rsidRPr="00B51B7C">
              <w:rPr>
                <w:rFonts w:asciiTheme="minorEastAsia" w:hAnsiTheme="minorEastAsia" w:hint="eastAsia"/>
                <w:szCs w:val="21"/>
              </w:rPr>
              <w:t>.</w:t>
            </w:r>
            <w:r w:rsidRPr="00B51B7C">
              <w:rPr>
                <w:rFonts w:asciiTheme="minorEastAsia" w:hAnsiTheme="minorEastAsia"/>
                <w:szCs w:val="21"/>
              </w:rPr>
              <w:t>5</w:t>
            </w:r>
            <w:r w:rsidRPr="00B51B7C">
              <w:rPr>
                <w:rFonts w:asciiTheme="minorEastAsia" w:hAnsiTheme="minorEastAsia" w:hint="eastAsia"/>
                <w:szCs w:val="21"/>
              </w:rPr>
              <w:t>2亿元。公司2024年度审计报告意见为标准无保留的审计意见。</w:t>
            </w:r>
          </w:p>
        </w:tc>
        <w:tc>
          <w:tcPr>
            <w:tcW w:w="1559" w:type="dxa"/>
          </w:tcPr>
          <w:p w14:paraId="5AD22E1F"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否，符合申请撤销其他风险警示的条件</w:t>
            </w:r>
          </w:p>
        </w:tc>
      </w:tr>
      <w:tr w:rsidR="00A35CDE" w:rsidRPr="00B51B7C" w14:paraId="40837B21" w14:textId="77777777" w:rsidTr="00B51B7C">
        <w:trPr>
          <w:jc w:val="center"/>
        </w:trPr>
        <w:tc>
          <w:tcPr>
            <w:tcW w:w="3545" w:type="dxa"/>
          </w:tcPr>
          <w:p w14:paraId="597DD2DF"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（八）根据中国证监会行政处罚事先告知书载明的事实，公司披露的年度报告财务指标存在虚假记载，但未触</w:t>
            </w:r>
            <w:r w:rsidRPr="00B51B7C">
              <w:rPr>
                <w:rFonts w:asciiTheme="minorEastAsia" w:hAnsiTheme="minorEastAsia" w:hint="eastAsia"/>
                <w:szCs w:val="21"/>
              </w:rPr>
              <w:lastRenderedPageBreak/>
              <w:t>及本</w:t>
            </w:r>
            <w:proofErr w:type="gramStart"/>
            <w:r w:rsidRPr="00B51B7C">
              <w:rPr>
                <w:rFonts w:asciiTheme="minorEastAsia" w:hAnsiTheme="minorEastAsia" w:hint="eastAsia"/>
                <w:szCs w:val="21"/>
              </w:rPr>
              <w:t>规则第9</w:t>
            </w:r>
            <w:proofErr w:type="gramEnd"/>
            <w:r w:rsidRPr="00B51B7C">
              <w:rPr>
                <w:rFonts w:asciiTheme="minorEastAsia" w:hAnsiTheme="minorEastAsia" w:hint="eastAsia"/>
                <w:szCs w:val="21"/>
              </w:rPr>
              <w:t>.5.2条第一款规定情形，前述财务指标包括营业收入、利润总额、净利润、资产负债表中的资产或者负债科目；</w:t>
            </w:r>
          </w:p>
        </w:tc>
        <w:tc>
          <w:tcPr>
            <w:tcW w:w="4247" w:type="dxa"/>
          </w:tcPr>
          <w:p w14:paraId="4B0F90CC" w14:textId="77777777" w:rsidR="00A35CDE" w:rsidRPr="00B51B7C" w:rsidRDefault="00A35CDE" w:rsidP="00BF7747">
            <w:pPr>
              <w:spacing w:line="276" w:lineRule="auto"/>
              <w:jc w:val="left"/>
              <w:rPr>
                <w:rFonts w:asciiTheme="minorEastAsia" w:hAnsiTheme="minorEastAsia"/>
                <w:szCs w:val="21"/>
              </w:rPr>
            </w:pPr>
            <w:r w:rsidRPr="00B51B7C">
              <w:rPr>
                <w:rFonts w:asciiTheme="minorEastAsia" w:hAnsiTheme="minorEastAsia" w:hint="eastAsia"/>
                <w:szCs w:val="21"/>
              </w:rPr>
              <w:lastRenderedPageBreak/>
              <w:t>公司于2024年5月13日收到中国证券监督管理委员会做出的《行政处罚及市场禁入事先告知书》，于2024年7月5日收到中国证</w:t>
            </w:r>
            <w:r w:rsidRPr="00B51B7C">
              <w:rPr>
                <w:rFonts w:asciiTheme="minorEastAsia" w:hAnsiTheme="minorEastAsia" w:hint="eastAsia"/>
                <w:szCs w:val="21"/>
              </w:rPr>
              <w:lastRenderedPageBreak/>
              <w:t>券监督管理委员会于2024年6月28日做出的《行政处罚决定书》，尚未满足《上市规则》9.8.8条第二款之要求“自中国证监会</w:t>
            </w:r>
            <w:proofErr w:type="gramStart"/>
            <w:r w:rsidRPr="00B51B7C">
              <w:rPr>
                <w:rFonts w:asciiTheme="minorEastAsia" w:hAnsiTheme="minorEastAsia" w:hint="eastAsia"/>
                <w:szCs w:val="21"/>
              </w:rPr>
              <w:t>作出</w:t>
            </w:r>
            <w:proofErr w:type="gramEnd"/>
            <w:r w:rsidRPr="00B51B7C">
              <w:rPr>
                <w:rFonts w:asciiTheme="minorEastAsia" w:hAnsiTheme="minorEastAsia" w:hint="eastAsia"/>
                <w:szCs w:val="21"/>
              </w:rPr>
              <w:t>行政处罚决定书之日起已满十二个月。”</w:t>
            </w:r>
          </w:p>
          <w:p w14:paraId="2F32CF82" w14:textId="77777777" w:rsidR="00A35CDE" w:rsidRPr="00B51B7C" w:rsidRDefault="00A35CDE" w:rsidP="00BF7747">
            <w:pPr>
              <w:spacing w:line="276" w:lineRule="auto"/>
              <w:jc w:val="left"/>
              <w:rPr>
                <w:rFonts w:asciiTheme="minorEastAsia" w:hAnsiTheme="minorEastAsia"/>
                <w:szCs w:val="21"/>
              </w:rPr>
            </w:pPr>
            <w:r w:rsidRPr="00B51B7C">
              <w:rPr>
                <w:rFonts w:asciiTheme="minorEastAsia" w:hAnsiTheme="minorEastAsia" w:hint="eastAsia"/>
                <w:szCs w:val="21"/>
              </w:rPr>
              <w:t>公司已就相关事项</w:t>
            </w:r>
            <w:r w:rsidRPr="00B51B7C">
              <w:rPr>
                <w:rFonts w:asciiTheme="minorEastAsia" w:hAnsiTheme="minorEastAsia" w:hint="eastAsia"/>
              </w:rPr>
              <w:t>于2025年4月22日披露了《关于前期会计差错更正及追溯调整的公告》。</w:t>
            </w:r>
            <w:r w:rsidRPr="00B51B7C" w:rsidDel="00922953">
              <w:rPr>
                <w:rFonts w:asciiTheme="minorEastAsia" w:hAnsiTheme="minorEastAsia" w:hint="eastAsia"/>
              </w:rPr>
              <w:t xml:space="preserve"> </w:t>
            </w:r>
          </w:p>
        </w:tc>
        <w:tc>
          <w:tcPr>
            <w:tcW w:w="1559" w:type="dxa"/>
          </w:tcPr>
          <w:p w14:paraId="4B4F6932"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lastRenderedPageBreak/>
              <w:t>是，继续被实施其他风险警示</w:t>
            </w:r>
          </w:p>
        </w:tc>
      </w:tr>
      <w:tr w:rsidR="00A35CDE" w:rsidRPr="00B51B7C" w14:paraId="45E3BB4A" w14:textId="77777777" w:rsidTr="00B51B7C">
        <w:trPr>
          <w:jc w:val="center"/>
        </w:trPr>
        <w:tc>
          <w:tcPr>
            <w:tcW w:w="3545" w:type="dxa"/>
          </w:tcPr>
          <w:p w14:paraId="0F178446"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九）最近一个会计年度净利润为正值，且合并报表、母公司报表年度末未分配利润均为正值的公司，其最近三个会计年度累计现金分红金额低于最近三个会计年度年均净利润的30%，且最近三个会计年度累计现金分红金额低于5000万元；</w:t>
            </w:r>
          </w:p>
        </w:tc>
        <w:tc>
          <w:tcPr>
            <w:tcW w:w="4247" w:type="dxa"/>
          </w:tcPr>
          <w:p w14:paraId="143A1865" w14:textId="77777777" w:rsidR="00A35CDE" w:rsidRPr="00B51B7C" w:rsidRDefault="00A35CDE" w:rsidP="00BF7747">
            <w:pPr>
              <w:spacing w:line="276" w:lineRule="auto"/>
              <w:jc w:val="left"/>
              <w:rPr>
                <w:rFonts w:asciiTheme="minorEastAsia" w:hAnsiTheme="minorEastAsia"/>
                <w:szCs w:val="21"/>
              </w:rPr>
            </w:pPr>
            <w:r w:rsidRPr="00B51B7C">
              <w:rPr>
                <w:rFonts w:asciiTheme="minorEastAsia" w:hAnsiTheme="minorEastAsia" w:hint="eastAsia"/>
                <w:szCs w:val="21"/>
              </w:rPr>
              <w:t>公司 2024 年度经审计的</w:t>
            </w:r>
            <w:proofErr w:type="gramStart"/>
            <w:r w:rsidRPr="00B51B7C">
              <w:rPr>
                <w:rFonts w:asciiTheme="minorEastAsia" w:hAnsiTheme="minorEastAsia" w:hint="eastAsia"/>
                <w:szCs w:val="21"/>
              </w:rPr>
              <w:t>归母净利润</w:t>
            </w:r>
            <w:proofErr w:type="gramEnd"/>
            <w:r w:rsidRPr="00B51B7C">
              <w:rPr>
                <w:rFonts w:asciiTheme="minorEastAsia" w:hAnsiTheme="minorEastAsia" w:hint="eastAsia"/>
                <w:szCs w:val="21"/>
              </w:rPr>
              <w:t>为-11.74 亿元，且合并报表、母公司报表年度末未分配利润均为负值，根据相关规定，公司不满足进行现金分红的条件。</w:t>
            </w:r>
          </w:p>
        </w:tc>
        <w:tc>
          <w:tcPr>
            <w:tcW w:w="1559" w:type="dxa"/>
            <w:vAlign w:val="center"/>
          </w:tcPr>
          <w:p w14:paraId="13C69F8E"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w:t>
            </w:r>
          </w:p>
        </w:tc>
      </w:tr>
      <w:tr w:rsidR="00A35CDE" w:rsidRPr="00B51B7C" w14:paraId="257BC91C" w14:textId="77777777" w:rsidTr="00B51B7C">
        <w:trPr>
          <w:jc w:val="center"/>
        </w:trPr>
        <w:tc>
          <w:tcPr>
            <w:tcW w:w="3545" w:type="dxa"/>
            <w:vAlign w:val="center"/>
          </w:tcPr>
          <w:p w14:paraId="4C94E245"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（十）投资者难以判断公司前景，投资权益可能受到损害的其他情形。</w:t>
            </w:r>
          </w:p>
        </w:tc>
        <w:tc>
          <w:tcPr>
            <w:tcW w:w="4247" w:type="dxa"/>
          </w:tcPr>
          <w:p w14:paraId="06B9497C" w14:textId="77777777" w:rsidR="00A35CDE" w:rsidRPr="00B51B7C" w:rsidRDefault="00A35CDE" w:rsidP="00BF7747">
            <w:pPr>
              <w:spacing w:line="276" w:lineRule="auto"/>
              <w:rPr>
                <w:rFonts w:asciiTheme="minorEastAsia" w:hAnsiTheme="minorEastAsia"/>
                <w:szCs w:val="21"/>
              </w:rPr>
            </w:pPr>
            <w:r w:rsidRPr="00B51B7C">
              <w:rPr>
                <w:rFonts w:asciiTheme="minorEastAsia" w:hAnsiTheme="minorEastAsia" w:hint="eastAsia"/>
                <w:szCs w:val="21"/>
              </w:rPr>
              <w:t>公司按相关规则进行信息披露，且通过业绩说明会、</w:t>
            </w:r>
            <w:proofErr w:type="gramStart"/>
            <w:r w:rsidRPr="00B51B7C">
              <w:rPr>
                <w:rFonts w:asciiTheme="minorEastAsia" w:hAnsiTheme="minorEastAsia" w:hint="eastAsia"/>
                <w:szCs w:val="21"/>
              </w:rPr>
              <w:t>互动</w:t>
            </w:r>
            <w:r w:rsidRPr="00B51B7C">
              <w:rPr>
                <w:rFonts w:asciiTheme="minorEastAsia" w:hAnsiTheme="minorEastAsia"/>
                <w:szCs w:val="21"/>
              </w:rPr>
              <w:t>易</w:t>
            </w:r>
            <w:proofErr w:type="gramEnd"/>
            <w:r w:rsidRPr="00B51B7C">
              <w:rPr>
                <w:rFonts w:asciiTheme="minorEastAsia" w:hAnsiTheme="minorEastAsia"/>
                <w:szCs w:val="21"/>
              </w:rPr>
              <w:t>等方式与投资者保持交流，向广大投资者公开、公平、公正地展示公司各方面的情况。公司经营合法，</w:t>
            </w:r>
            <w:r w:rsidRPr="00B51B7C">
              <w:rPr>
                <w:rFonts w:asciiTheme="minorEastAsia" w:hAnsiTheme="minorEastAsia" w:hint="eastAsia"/>
                <w:szCs w:val="21"/>
              </w:rPr>
              <w:t>以前年度存在的违规问题已通过重整计划执行得以妥善解决。</w:t>
            </w:r>
            <w:r w:rsidRPr="00B51B7C">
              <w:rPr>
                <w:rFonts w:asciiTheme="minorEastAsia" w:hAnsiTheme="minorEastAsia"/>
                <w:szCs w:val="21"/>
              </w:rPr>
              <w:t>公司不存在投资者难以判断公司前景，投资权益可能受到损害的其他情形。</w:t>
            </w:r>
          </w:p>
        </w:tc>
        <w:tc>
          <w:tcPr>
            <w:tcW w:w="1559" w:type="dxa"/>
            <w:vAlign w:val="center"/>
          </w:tcPr>
          <w:p w14:paraId="0D44DA6A" w14:textId="77777777" w:rsidR="00A35CDE" w:rsidRPr="00B51B7C" w:rsidRDefault="00A35CDE" w:rsidP="00BF7747">
            <w:pPr>
              <w:spacing w:line="276" w:lineRule="auto"/>
              <w:jc w:val="center"/>
              <w:rPr>
                <w:rFonts w:asciiTheme="minorEastAsia" w:hAnsiTheme="minorEastAsia"/>
                <w:szCs w:val="21"/>
              </w:rPr>
            </w:pPr>
            <w:r w:rsidRPr="00B51B7C">
              <w:rPr>
                <w:rFonts w:asciiTheme="minorEastAsia" w:hAnsiTheme="minorEastAsia" w:hint="eastAsia"/>
                <w:szCs w:val="21"/>
              </w:rPr>
              <w:t>否</w:t>
            </w:r>
          </w:p>
        </w:tc>
      </w:tr>
    </w:tbl>
    <w:p w14:paraId="3DCDD218" w14:textId="77777777" w:rsidR="00A35CDE" w:rsidRPr="00B51B7C" w:rsidRDefault="00A35CDE" w:rsidP="00A35CDE">
      <w:pPr>
        <w:spacing w:line="360" w:lineRule="auto"/>
        <w:ind w:firstLineChars="200" w:firstLine="480"/>
        <w:rPr>
          <w:rFonts w:asciiTheme="minorEastAsia" w:hAnsiTheme="minorEastAsia"/>
          <w:sz w:val="24"/>
        </w:rPr>
      </w:pPr>
      <w:r w:rsidRPr="00B51B7C">
        <w:rPr>
          <w:rFonts w:asciiTheme="minorEastAsia" w:hAnsiTheme="minorEastAsia" w:hint="eastAsia"/>
          <w:sz w:val="24"/>
        </w:rPr>
        <w:t>综上所述，经过逐项自查，公司符合撤销退</w:t>
      </w:r>
      <w:proofErr w:type="gramStart"/>
      <w:r w:rsidRPr="00B51B7C">
        <w:rPr>
          <w:rFonts w:asciiTheme="minorEastAsia" w:hAnsiTheme="minorEastAsia" w:hint="eastAsia"/>
          <w:sz w:val="24"/>
        </w:rPr>
        <w:t>市风险</w:t>
      </w:r>
      <w:proofErr w:type="gramEnd"/>
      <w:r w:rsidRPr="00B51B7C">
        <w:rPr>
          <w:rFonts w:asciiTheme="minorEastAsia" w:hAnsiTheme="minorEastAsia" w:hint="eastAsia"/>
          <w:sz w:val="24"/>
        </w:rPr>
        <w:t>警示的条件，不存在股票终止上市的情形，符合撤销部分其他风险警示的条件，并被继续实施其他风险警示。</w:t>
      </w:r>
    </w:p>
    <w:bookmarkEnd w:id="3"/>
    <w:p w14:paraId="562ACC64" w14:textId="77777777" w:rsidR="00BF7747" w:rsidRPr="00B51B7C" w:rsidRDefault="00C30CFF" w:rsidP="00F46C6A">
      <w:pPr>
        <w:spacing w:line="360" w:lineRule="auto"/>
        <w:ind w:firstLineChars="200" w:firstLine="482"/>
        <w:rPr>
          <w:rFonts w:asciiTheme="minorEastAsia" w:hAnsiTheme="minorEastAsia"/>
          <w:b/>
          <w:sz w:val="24"/>
          <w:szCs w:val="24"/>
        </w:rPr>
      </w:pPr>
      <w:r w:rsidRPr="00B51B7C">
        <w:rPr>
          <w:rFonts w:asciiTheme="minorEastAsia" w:hAnsiTheme="minorEastAsia" w:hint="eastAsia"/>
          <w:b/>
          <w:sz w:val="24"/>
          <w:szCs w:val="24"/>
        </w:rPr>
        <w:t>会计师回复：</w:t>
      </w:r>
    </w:p>
    <w:p w14:paraId="6BBBF65C" w14:textId="1BBDA9E1" w:rsidR="00FE4DA4" w:rsidRPr="00B51B7C" w:rsidRDefault="00FE4DA4" w:rsidP="00F46C6A">
      <w:pPr>
        <w:spacing w:line="360" w:lineRule="auto"/>
        <w:ind w:firstLineChars="200" w:firstLine="482"/>
        <w:rPr>
          <w:rFonts w:asciiTheme="minorEastAsia" w:hAnsiTheme="minorEastAsia"/>
          <w:b/>
          <w:sz w:val="24"/>
          <w:szCs w:val="24"/>
        </w:rPr>
      </w:pPr>
      <w:r w:rsidRPr="00B51B7C">
        <w:rPr>
          <w:rFonts w:asciiTheme="minorEastAsia" w:hAnsiTheme="minorEastAsia" w:hint="eastAsia"/>
          <w:b/>
          <w:sz w:val="24"/>
          <w:szCs w:val="24"/>
        </w:rPr>
        <w:t>针对上述事项，我们实施了以下主要核查程序：</w:t>
      </w:r>
    </w:p>
    <w:p w14:paraId="1D0DA9D3" w14:textId="22B857E1" w:rsidR="00FE4DA4" w:rsidRPr="00B51B7C" w:rsidRDefault="00FE4DA4" w:rsidP="00CC203D">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001540A8" w:rsidRPr="00B51B7C">
        <w:rPr>
          <w:rFonts w:asciiTheme="minorEastAsia" w:hAnsiTheme="minorEastAsia" w:cs="Times" w:hint="eastAsia"/>
          <w:kern w:val="0"/>
          <w:sz w:val="24"/>
          <w:szCs w:val="24"/>
        </w:rPr>
        <w:t>查阅深圳证券交易所《股票上市规则（2025年修订）》第 9.3.8 条、9.3.12条规定的股票终止上市情形的各项规定内容，结合我所出具的 2024年度审计报告，将相关财务数据或财务指标、审计报告意见类型，以及公司 2024年度报告披露情况和公司申请退</w:t>
      </w:r>
      <w:proofErr w:type="gramStart"/>
      <w:r w:rsidR="001540A8" w:rsidRPr="00B51B7C">
        <w:rPr>
          <w:rFonts w:asciiTheme="minorEastAsia" w:hAnsiTheme="minorEastAsia" w:cs="Times" w:hint="eastAsia"/>
          <w:kern w:val="0"/>
          <w:sz w:val="24"/>
          <w:szCs w:val="24"/>
        </w:rPr>
        <w:t>市风险</w:t>
      </w:r>
      <w:proofErr w:type="gramEnd"/>
      <w:r w:rsidR="001540A8" w:rsidRPr="00B51B7C">
        <w:rPr>
          <w:rFonts w:asciiTheme="minorEastAsia" w:hAnsiTheme="minorEastAsia" w:cs="Times" w:hint="eastAsia"/>
          <w:kern w:val="0"/>
          <w:sz w:val="24"/>
          <w:szCs w:val="24"/>
        </w:rPr>
        <w:t>警示文件资料等与股票终止上市情形的各项规定内容进行比对，分析是否存在股票终止上市情形</w:t>
      </w:r>
      <w:r w:rsidRPr="00B51B7C">
        <w:rPr>
          <w:rFonts w:asciiTheme="minorEastAsia" w:hAnsiTheme="minorEastAsia" w:cs="Times" w:hint="eastAsia"/>
          <w:kern w:val="0"/>
          <w:sz w:val="24"/>
          <w:szCs w:val="24"/>
        </w:rPr>
        <w:t>；</w:t>
      </w:r>
    </w:p>
    <w:p w14:paraId="2A9142C4" w14:textId="5B533DBC" w:rsidR="00FE4DA4" w:rsidRPr="00B51B7C" w:rsidRDefault="00FE4DA4" w:rsidP="00FE4D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1540A8" w:rsidRPr="00B51B7C">
        <w:rPr>
          <w:rFonts w:asciiTheme="minorEastAsia" w:hAnsiTheme="minorEastAsia" w:cs="Times" w:hint="eastAsia"/>
          <w:kern w:val="0"/>
          <w:sz w:val="24"/>
          <w:szCs w:val="24"/>
        </w:rPr>
        <w:t>2</w:t>
      </w:r>
      <w:r w:rsidRPr="00B51B7C">
        <w:rPr>
          <w:rFonts w:asciiTheme="minorEastAsia" w:hAnsiTheme="minorEastAsia" w:cs="Times" w:hint="eastAsia"/>
          <w:kern w:val="0"/>
          <w:sz w:val="24"/>
          <w:szCs w:val="24"/>
        </w:rPr>
        <w:t>）</w:t>
      </w:r>
      <w:r w:rsidR="001540A8" w:rsidRPr="00B51B7C">
        <w:rPr>
          <w:rFonts w:asciiTheme="minorEastAsia" w:hAnsiTheme="minorEastAsia" w:cs="Times" w:hint="eastAsia"/>
          <w:kern w:val="0"/>
          <w:sz w:val="24"/>
          <w:szCs w:val="24"/>
        </w:rPr>
        <w:t>查阅深圳证券交易所《股票上市规则（2025年修订）》9.8.1条规定的股票交易实施其他风险警示的情形的各项规定内容，逐项与公司实际情况进行比对，分析是否存在公司应被实施其他风险警示的情形</w:t>
      </w:r>
      <w:r w:rsidRPr="00B51B7C">
        <w:rPr>
          <w:rFonts w:asciiTheme="minorEastAsia" w:hAnsiTheme="minorEastAsia" w:cs="Times" w:hint="eastAsia"/>
          <w:kern w:val="0"/>
          <w:sz w:val="24"/>
          <w:szCs w:val="24"/>
        </w:rPr>
        <w:t>。</w:t>
      </w:r>
    </w:p>
    <w:p w14:paraId="53E6003B" w14:textId="0AD8AF5B" w:rsidR="00E75535" w:rsidRPr="00B51B7C" w:rsidRDefault="00E75535" w:rsidP="00E75535">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lastRenderedPageBreak/>
        <w:t>经核查，会计师认为公司不存在深圳证券交易所《股票上市规则（2025年修订）》第 9.3.12条规定的股票终止上市情形；</w:t>
      </w:r>
      <w:r w:rsidR="007A6EBA" w:rsidRPr="00B51B7C">
        <w:rPr>
          <w:rFonts w:asciiTheme="minorEastAsia" w:hAnsiTheme="minorEastAsia" w:cs="Times" w:hint="eastAsia"/>
          <w:kern w:val="0"/>
          <w:sz w:val="24"/>
          <w:szCs w:val="24"/>
        </w:rPr>
        <w:t>公司因存在 2023年度财务报告内部控制被出具否定意见的审计报告、近三年连续亏损且2023年度财务报告出具了</w:t>
      </w:r>
      <w:proofErr w:type="gramStart"/>
      <w:r w:rsidR="007A6EBA" w:rsidRPr="00B51B7C">
        <w:rPr>
          <w:rFonts w:asciiTheme="minorEastAsia" w:hAnsiTheme="minorEastAsia" w:cs="Times" w:hint="eastAsia"/>
          <w:kern w:val="0"/>
          <w:sz w:val="24"/>
          <w:szCs w:val="24"/>
        </w:rPr>
        <w:t>带持续</w:t>
      </w:r>
      <w:proofErr w:type="gramEnd"/>
      <w:r w:rsidR="007A6EBA" w:rsidRPr="00B51B7C">
        <w:rPr>
          <w:rFonts w:asciiTheme="minorEastAsia" w:hAnsiTheme="minorEastAsia" w:cs="Times" w:hint="eastAsia"/>
          <w:kern w:val="0"/>
          <w:sz w:val="24"/>
          <w:szCs w:val="24"/>
        </w:rPr>
        <w:t>经营能力重大不确定性段落的无保留意见的审计报告而触及的其他风险警示情形已经消除，</w:t>
      </w:r>
      <w:r w:rsidRPr="00B51B7C">
        <w:rPr>
          <w:rFonts w:asciiTheme="minorEastAsia" w:hAnsiTheme="minorEastAsia" w:cs="Times" w:hint="eastAsia"/>
          <w:kern w:val="0"/>
          <w:sz w:val="24"/>
          <w:szCs w:val="24"/>
        </w:rPr>
        <w:t>公司符合申请撤销对应的其他风险警示情形的条件，</w:t>
      </w:r>
      <w:r w:rsidR="007A6EBA" w:rsidRPr="00B51B7C">
        <w:rPr>
          <w:rFonts w:asciiTheme="minorEastAsia" w:hAnsiTheme="minorEastAsia" w:cs="Times" w:hint="eastAsia"/>
          <w:kern w:val="0"/>
          <w:sz w:val="24"/>
          <w:szCs w:val="24"/>
        </w:rPr>
        <w:t>但</w:t>
      </w:r>
      <w:r w:rsidRPr="00B51B7C">
        <w:rPr>
          <w:rFonts w:asciiTheme="minorEastAsia" w:hAnsiTheme="minorEastAsia" w:cs="Times" w:hint="eastAsia"/>
          <w:kern w:val="0"/>
          <w:sz w:val="24"/>
          <w:szCs w:val="24"/>
        </w:rPr>
        <w:t>仍存在第9.8.1条第（八）款被实施其他风险警示的情形。</w:t>
      </w:r>
    </w:p>
    <w:p w14:paraId="5BB306E4" w14:textId="77777777" w:rsidR="003F5258" w:rsidRPr="00B51B7C" w:rsidRDefault="00674EB5" w:rsidP="003F5258">
      <w:pPr>
        <w:keepNext/>
        <w:keepLines/>
        <w:spacing w:line="360" w:lineRule="auto"/>
        <w:ind w:firstLineChars="200" w:firstLine="482"/>
        <w:outlineLvl w:val="1"/>
        <w:rPr>
          <w:rFonts w:asciiTheme="minorEastAsia" w:hAnsiTheme="minorEastAsia" w:cs="Times New Roman"/>
          <w:b/>
          <w:bCs/>
          <w:sz w:val="24"/>
          <w:szCs w:val="24"/>
        </w:rPr>
      </w:pPr>
      <w:r w:rsidRPr="00B51B7C">
        <w:rPr>
          <w:rFonts w:asciiTheme="minorEastAsia" w:hAnsiTheme="minorEastAsia" w:cs="Times New Roman" w:hint="eastAsia"/>
          <w:b/>
          <w:bCs/>
          <w:sz w:val="24"/>
          <w:szCs w:val="24"/>
        </w:rPr>
        <w:t>问题</w:t>
      </w:r>
      <w:r w:rsidR="00D273B4" w:rsidRPr="00B51B7C">
        <w:rPr>
          <w:rFonts w:asciiTheme="minorEastAsia" w:hAnsiTheme="minorEastAsia" w:cs="Times New Roman" w:hint="eastAsia"/>
          <w:b/>
          <w:bCs/>
          <w:sz w:val="24"/>
          <w:szCs w:val="24"/>
        </w:rPr>
        <w:t>4</w:t>
      </w:r>
      <w:r w:rsidRPr="00B51B7C">
        <w:rPr>
          <w:rFonts w:asciiTheme="minorEastAsia" w:hAnsiTheme="minorEastAsia" w:cs="Times New Roman" w:hint="eastAsia"/>
          <w:b/>
          <w:bCs/>
          <w:sz w:val="24"/>
          <w:szCs w:val="24"/>
        </w:rPr>
        <w:t xml:space="preserve">. </w:t>
      </w:r>
    </w:p>
    <w:p w14:paraId="75B7480D" w14:textId="196891EE" w:rsidR="00674EB5" w:rsidRPr="00B51B7C" w:rsidRDefault="00674EB5" w:rsidP="00674EB5">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你公司披露的《关于2024年度各类资产减值及核销的公告》显示，</w:t>
      </w:r>
      <w:proofErr w:type="gramStart"/>
      <w:r w:rsidRPr="00B51B7C">
        <w:rPr>
          <w:rFonts w:asciiTheme="minorEastAsia" w:hAnsiTheme="minorEastAsia" w:cs="Times" w:hint="eastAsia"/>
          <w:b/>
          <w:bCs/>
          <w:kern w:val="0"/>
          <w:sz w:val="24"/>
          <w:szCs w:val="24"/>
        </w:rPr>
        <w:t>报告期你公司</w:t>
      </w:r>
      <w:proofErr w:type="gramEnd"/>
      <w:r w:rsidRPr="00B51B7C">
        <w:rPr>
          <w:rFonts w:asciiTheme="minorEastAsia" w:hAnsiTheme="minorEastAsia" w:cs="Times" w:hint="eastAsia"/>
          <w:b/>
          <w:bCs/>
          <w:kern w:val="0"/>
          <w:sz w:val="24"/>
          <w:szCs w:val="24"/>
        </w:rPr>
        <w:t>计提存货跌价损失、固定资产减值损失等资产减值及信用减值损失合计14.52亿元。合并财务报表项目注释中，你公司未对报告期信用减值损失计提、资产减值损失进行解释说明。请你公司：</w:t>
      </w:r>
    </w:p>
    <w:p w14:paraId="648BA49E" w14:textId="1A0A6555" w:rsidR="00C30CFF" w:rsidRPr="00B51B7C" w:rsidRDefault="00674EB5" w:rsidP="00674EB5">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2）补充披露本次计提信用减值损失、资产减值损失的详细内容及金额，结合相应客户偿债能力的具体变化情况，补充披露计提信用减值损失/资产减值损失的具体依据，计提金额的确认方法及合理性，并说明以前年度信用减值损失/资产减值损失计提是否充分、合理。请年审机构核查并发表明确意见。</w:t>
      </w:r>
    </w:p>
    <w:p w14:paraId="04AD710A" w14:textId="77777777" w:rsidR="00005BF1" w:rsidRPr="00B51B7C" w:rsidRDefault="00796C84" w:rsidP="00796C84">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公司回复：</w:t>
      </w:r>
    </w:p>
    <w:p w14:paraId="2BF14222" w14:textId="77777777" w:rsidR="00005BF1" w:rsidRPr="00B51B7C" w:rsidRDefault="00005BF1" w:rsidP="00005BF1">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1、2024年公司计提信用减值损失、资产减值损失情况如下：</w:t>
      </w:r>
    </w:p>
    <w:p w14:paraId="6182EE96" w14:textId="77777777" w:rsidR="00005BF1" w:rsidRPr="00B51B7C" w:rsidRDefault="00005BF1" w:rsidP="00005BF1">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（1）信用减值损失（损失以“－”号填列）</w:t>
      </w:r>
    </w:p>
    <w:p w14:paraId="4B3FA5FB" w14:textId="10227F13" w:rsidR="003C6F37" w:rsidRPr="00B51B7C" w:rsidRDefault="003C6F37" w:rsidP="003C6F37">
      <w:pPr>
        <w:spacing w:line="360" w:lineRule="auto"/>
        <w:ind w:firstLineChars="200" w:firstLine="480"/>
        <w:jc w:val="right"/>
        <w:rPr>
          <w:rFonts w:asciiTheme="minorEastAsia" w:hAnsiTheme="minorEastAsia" w:cs="宋体"/>
          <w:kern w:val="0"/>
          <w:sz w:val="24"/>
        </w:rPr>
      </w:pPr>
      <w:r w:rsidRPr="00B51B7C">
        <w:rPr>
          <w:rFonts w:asciiTheme="minorEastAsia" w:hAnsiTheme="minorEastAsia" w:cs="宋体" w:hint="eastAsia"/>
          <w:kern w:val="0"/>
          <w:sz w:val="24"/>
        </w:rPr>
        <w:t>单位：人民币万元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4"/>
        <w:gridCol w:w="3261"/>
      </w:tblGrid>
      <w:tr w:rsidR="00005BF1" w:rsidRPr="00B51B7C" w14:paraId="3E616144" w14:textId="77777777" w:rsidTr="003C6F37">
        <w:trPr>
          <w:trHeight w:val="406"/>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7707E155"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项目</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82F271E" w14:textId="25364D52" w:rsidR="00005BF1" w:rsidRPr="00B51B7C" w:rsidRDefault="00005BF1" w:rsidP="003C6F3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本期发生额</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73FCA561" w14:textId="2F41197C"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上期发生额</w:t>
            </w:r>
          </w:p>
        </w:tc>
      </w:tr>
      <w:tr w:rsidR="00005BF1" w:rsidRPr="00B51B7C" w14:paraId="34FE602C" w14:textId="77777777" w:rsidTr="00AC7695">
        <w:trPr>
          <w:trHeight w:val="43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38DD3E40" w14:textId="77777777" w:rsidR="00005BF1" w:rsidRPr="00B51B7C" w:rsidRDefault="00005BF1"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应收票据坏账损失</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AAA0135"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53.73 </w:t>
            </w:r>
          </w:p>
        </w:tc>
        <w:tc>
          <w:tcPr>
            <w:tcW w:w="3261" w:type="dxa"/>
            <w:tcBorders>
              <w:top w:val="single" w:sz="4" w:space="0" w:color="auto"/>
              <w:left w:val="single" w:sz="4" w:space="0" w:color="auto"/>
              <w:bottom w:val="single" w:sz="4" w:space="0" w:color="auto"/>
              <w:right w:val="single" w:sz="4" w:space="0" w:color="auto"/>
            </w:tcBorders>
            <w:noWrap/>
            <w:vAlign w:val="center"/>
          </w:tcPr>
          <w:p w14:paraId="06FD0D92"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-13.96</w:t>
            </w:r>
          </w:p>
        </w:tc>
      </w:tr>
      <w:tr w:rsidR="00005BF1" w:rsidRPr="00B51B7C" w14:paraId="7A132E57" w14:textId="77777777" w:rsidTr="00AC7695">
        <w:trPr>
          <w:trHeight w:val="312"/>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DBC526D" w14:textId="77777777" w:rsidR="00005BF1" w:rsidRPr="00B51B7C" w:rsidRDefault="00005BF1"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应收账款坏账损失</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CB2DC4A"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-32,047.31 </w:t>
            </w:r>
          </w:p>
        </w:tc>
        <w:tc>
          <w:tcPr>
            <w:tcW w:w="3261" w:type="dxa"/>
            <w:tcBorders>
              <w:top w:val="single" w:sz="4" w:space="0" w:color="auto"/>
              <w:left w:val="single" w:sz="4" w:space="0" w:color="auto"/>
              <w:bottom w:val="single" w:sz="4" w:space="0" w:color="auto"/>
              <w:right w:val="single" w:sz="4" w:space="0" w:color="auto"/>
            </w:tcBorders>
            <w:noWrap/>
            <w:vAlign w:val="center"/>
          </w:tcPr>
          <w:p w14:paraId="54B9E1AB" w14:textId="3852C785" w:rsidR="00005BF1" w:rsidRPr="00B51B7C" w:rsidRDefault="00005BF1" w:rsidP="00B02FE5">
            <w:pPr>
              <w:widowControl/>
              <w:jc w:val="right"/>
              <w:rPr>
                <w:rFonts w:asciiTheme="minorEastAsia" w:hAnsiTheme="minorEastAsia" w:cs="Arial"/>
                <w:kern w:val="0"/>
                <w:szCs w:val="21"/>
              </w:rPr>
            </w:pPr>
            <w:r w:rsidRPr="00B51B7C">
              <w:rPr>
                <w:rFonts w:asciiTheme="minorEastAsia" w:hAnsiTheme="minorEastAsia" w:cs="宋体" w:hint="eastAsia"/>
                <w:kern w:val="0"/>
                <w:szCs w:val="21"/>
              </w:rPr>
              <w:t>3,096.02</w:t>
            </w:r>
          </w:p>
        </w:tc>
      </w:tr>
      <w:tr w:rsidR="00005BF1" w:rsidRPr="00B51B7C" w14:paraId="62E6D1FD" w14:textId="77777777" w:rsidTr="00AC7695">
        <w:trPr>
          <w:trHeight w:val="312"/>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4CE5BBE9" w14:textId="77777777" w:rsidR="00005BF1" w:rsidRPr="00B51B7C" w:rsidRDefault="00005BF1"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其他应收款坏账损失</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466C0AC"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-24,258.82 </w:t>
            </w:r>
          </w:p>
        </w:tc>
        <w:tc>
          <w:tcPr>
            <w:tcW w:w="3261" w:type="dxa"/>
            <w:tcBorders>
              <w:top w:val="single" w:sz="4" w:space="0" w:color="auto"/>
              <w:left w:val="single" w:sz="4" w:space="0" w:color="auto"/>
              <w:bottom w:val="single" w:sz="4" w:space="0" w:color="auto"/>
              <w:right w:val="single" w:sz="4" w:space="0" w:color="auto"/>
            </w:tcBorders>
            <w:noWrap/>
            <w:vAlign w:val="center"/>
          </w:tcPr>
          <w:p w14:paraId="14FA56F6" w14:textId="5ABD103B" w:rsidR="00005BF1" w:rsidRPr="00B51B7C" w:rsidRDefault="00005BF1" w:rsidP="00B02FE5">
            <w:pPr>
              <w:widowControl/>
              <w:jc w:val="right"/>
              <w:rPr>
                <w:rFonts w:asciiTheme="minorEastAsia" w:hAnsiTheme="minorEastAsia" w:cs="Arial"/>
                <w:kern w:val="0"/>
                <w:szCs w:val="21"/>
              </w:rPr>
            </w:pPr>
            <w:r w:rsidRPr="00B51B7C">
              <w:rPr>
                <w:rFonts w:asciiTheme="minorEastAsia" w:hAnsiTheme="minorEastAsia" w:cs="宋体" w:hint="eastAsia"/>
                <w:kern w:val="0"/>
                <w:szCs w:val="21"/>
              </w:rPr>
              <w:t>-71,177.07</w:t>
            </w:r>
          </w:p>
        </w:tc>
      </w:tr>
      <w:tr w:rsidR="00005BF1" w:rsidRPr="00B51B7C" w14:paraId="595F6A8A" w14:textId="77777777" w:rsidTr="00AC7695">
        <w:trPr>
          <w:trHeight w:val="348"/>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4C12C0B5"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合计</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677CBE1" w14:textId="77777777" w:rsidR="00005BF1" w:rsidRPr="00B51B7C" w:rsidRDefault="00005BF1" w:rsidP="00BF7747">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 xml:space="preserve"> -56,252.40 </w:t>
            </w:r>
          </w:p>
        </w:tc>
        <w:tc>
          <w:tcPr>
            <w:tcW w:w="3261" w:type="dxa"/>
            <w:tcBorders>
              <w:top w:val="single" w:sz="4" w:space="0" w:color="auto"/>
              <w:left w:val="single" w:sz="4" w:space="0" w:color="auto"/>
              <w:bottom w:val="single" w:sz="4" w:space="0" w:color="auto"/>
              <w:right w:val="single" w:sz="4" w:space="0" w:color="auto"/>
            </w:tcBorders>
            <w:noWrap/>
            <w:vAlign w:val="center"/>
          </w:tcPr>
          <w:p w14:paraId="3CD52E56" w14:textId="77777777" w:rsidR="00005BF1" w:rsidRPr="00B51B7C" w:rsidRDefault="00005BF1" w:rsidP="00005BF1">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-68,095.00</w:t>
            </w:r>
          </w:p>
        </w:tc>
      </w:tr>
    </w:tbl>
    <w:p w14:paraId="3C870D0B" w14:textId="77777777" w:rsidR="00005BF1" w:rsidRPr="00B51B7C" w:rsidRDefault="00005BF1" w:rsidP="00005BF1">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（2）资产减值损失（损失以“－”号填列）</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4"/>
        <w:gridCol w:w="3261"/>
      </w:tblGrid>
      <w:tr w:rsidR="00005BF1" w:rsidRPr="00B51B7C" w14:paraId="2A51C3B1" w14:textId="77777777" w:rsidTr="003C6F37">
        <w:trPr>
          <w:trHeight w:val="385"/>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240C41D4" w14:textId="77777777" w:rsidR="00005BF1" w:rsidRPr="00B51B7C" w:rsidRDefault="00005BF1" w:rsidP="00F46C6A">
            <w:pPr>
              <w:widowControl/>
              <w:spacing w:line="276" w:lineRule="auto"/>
              <w:jc w:val="center"/>
              <w:rPr>
                <w:rFonts w:asciiTheme="minorEastAsia" w:hAnsiTheme="minorEastAsia" w:cs="宋体"/>
                <w:b/>
                <w:bCs/>
                <w:kern w:val="0"/>
                <w:szCs w:val="21"/>
              </w:rPr>
            </w:pPr>
            <w:r w:rsidRPr="00B51B7C">
              <w:rPr>
                <w:rFonts w:asciiTheme="minorEastAsia" w:hAnsiTheme="minorEastAsia" w:cs="宋体" w:hint="eastAsia"/>
                <w:b/>
                <w:bCs/>
                <w:kern w:val="0"/>
                <w:szCs w:val="21"/>
              </w:rPr>
              <w:t>项目</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00ECDC6" w14:textId="6BA884E0" w:rsidR="00005BF1" w:rsidRPr="00B51B7C" w:rsidRDefault="00005BF1" w:rsidP="003C6F37">
            <w:pPr>
              <w:widowControl/>
              <w:spacing w:line="276" w:lineRule="auto"/>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本期发生额</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02F9201E" w14:textId="1C41D794" w:rsidR="00005BF1" w:rsidRPr="00B51B7C" w:rsidRDefault="00005BF1" w:rsidP="00F46C6A">
            <w:pPr>
              <w:widowControl/>
              <w:spacing w:line="276" w:lineRule="auto"/>
              <w:jc w:val="center"/>
              <w:rPr>
                <w:rFonts w:asciiTheme="minorEastAsia" w:hAnsiTheme="minorEastAsia" w:cs="宋体"/>
                <w:b/>
                <w:bCs/>
                <w:kern w:val="0"/>
                <w:szCs w:val="21"/>
              </w:rPr>
            </w:pPr>
            <w:r w:rsidRPr="00B51B7C">
              <w:rPr>
                <w:rFonts w:asciiTheme="minorEastAsia" w:hAnsiTheme="minorEastAsia" w:cs="宋体" w:hint="eastAsia"/>
                <w:b/>
                <w:bCs/>
                <w:kern w:val="0"/>
                <w:szCs w:val="21"/>
              </w:rPr>
              <w:t>上期发生额</w:t>
            </w:r>
          </w:p>
        </w:tc>
      </w:tr>
      <w:tr w:rsidR="00005BF1" w:rsidRPr="00B51B7C" w14:paraId="4011C72F" w14:textId="77777777" w:rsidTr="00AC7695">
        <w:trPr>
          <w:trHeight w:val="312"/>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DCD17E6" w14:textId="77777777" w:rsidR="00005BF1" w:rsidRPr="00B51B7C" w:rsidRDefault="00005BF1" w:rsidP="00F46C6A">
            <w:pPr>
              <w:widowControl/>
              <w:spacing w:line="276" w:lineRule="auto"/>
              <w:rPr>
                <w:rFonts w:asciiTheme="minorEastAsia" w:hAnsiTheme="minorEastAsia" w:cs="宋体"/>
                <w:kern w:val="0"/>
                <w:szCs w:val="21"/>
              </w:rPr>
            </w:pPr>
            <w:r w:rsidRPr="00B51B7C">
              <w:rPr>
                <w:rFonts w:asciiTheme="minorEastAsia" w:hAnsiTheme="minorEastAsia" w:cs="宋体" w:hint="eastAsia"/>
                <w:kern w:val="0"/>
                <w:szCs w:val="21"/>
              </w:rPr>
              <w:t>存货跌价损失</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01A9EAE" w14:textId="77777777" w:rsidR="00005BF1" w:rsidRPr="00B51B7C" w:rsidRDefault="00005BF1" w:rsidP="00F46C6A">
            <w:pPr>
              <w:widowControl/>
              <w:spacing w:line="276" w:lineRule="auto"/>
              <w:jc w:val="right"/>
              <w:rPr>
                <w:rFonts w:asciiTheme="minorEastAsia" w:hAnsiTheme="minorEastAsia" w:cs="Arial"/>
                <w:kern w:val="0"/>
                <w:szCs w:val="21"/>
              </w:rPr>
            </w:pPr>
            <w:r w:rsidRPr="00B51B7C">
              <w:rPr>
                <w:rFonts w:asciiTheme="minorEastAsia" w:hAnsiTheme="minorEastAsia" w:cs="Arial" w:hint="eastAsia"/>
                <w:kern w:val="0"/>
                <w:szCs w:val="21"/>
              </w:rPr>
              <w:t xml:space="preserve">  -9,730.51 </w:t>
            </w:r>
          </w:p>
        </w:tc>
        <w:tc>
          <w:tcPr>
            <w:tcW w:w="3261" w:type="dxa"/>
            <w:tcBorders>
              <w:top w:val="single" w:sz="4" w:space="0" w:color="auto"/>
              <w:left w:val="single" w:sz="4" w:space="0" w:color="auto"/>
              <w:bottom w:val="single" w:sz="4" w:space="0" w:color="auto"/>
              <w:right w:val="single" w:sz="4" w:space="0" w:color="auto"/>
            </w:tcBorders>
            <w:noWrap/>
            <w:vAlign w:val="center"/>
          </w:tcPr>
          <w:p w14:paraId="78466807" w14:textId="718AFD8B" w:rsidR="00005BF1" w:rsidRPr="00B51B7C" w:rsidRDefault="00005BF1" w:rsidP="00F46C6A">
            <w:pPr>
              <w:widowControl/>
              <w:spacing w:line="276" w:lineRule="auto"/>
              <w:jc w:val="right"/>
              <w:rPr>
                <w:rFonts w:asciiTheme="minorEastAsia" w:hAnsiTheme="minorEastAsia" w:cs="Arial"/>
                <w:kern w:val="0"/>
                <w:szCs w:val="21"/>
              </w:rPr>
            </w:pPr>
            <w:r w:rsidRPr="00B51B7C">
              <w:rPr>
                <w:rFonts w:asciiTheme="minorEastAsia" w:hAnsiTheme="minorEastAsia" w:cs="Arial" w:hint="eastAsia"/>
                <w:kern w:val="0"/>
                <w:szCs w:val="21"/>
              </w:rPr>
              <w:t>-1,977.92</w:t>
            </w:r>
          </w:p>
        </w:tc>
      </w:tr>
      <w:tr w:rsidR="00005BF1" w:rsidRPr="00B51B7C" w14:paraId="51BC323F" w14:textId="77777777" w:rsidTr="00AC7695">
        <w:trPr>
          <w:trHeight w:val="312"/>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05132C9F" w14:textId="77777777" w:rsidR="00005BF1" w:rsidRPr="00B51B7C" w:rsidRDefault="00005BF1" w:rsidP="00F46C6A">
            <w:pPr>
              <w:widowControl/>
              <w:spacing w:line="276" w:lineRule="auto"/>
              <w:rPr>
                <w:rFonts w:asciiTheme="minorEastAsia" w:hAnsiTheme="minorEastAsia" w:cs="宋体"/>
                <w:kern w:val="0"/>
                <w:szCs w:val="21"/>
              </w:rPr>
            </w:pPr>
            <w:r w:rsidRPr="00B51B7C">
              <w:rPr>
                <w:rFonts w:asciiTheme="minorEastAsia" w:hAnsiTheme="minorEastAsia" w:cs="宋体" w:hint="eastAsia"/>
                <w:kern w:val="0"/>
                <w:szCs w:val="21"/>
              </w:rPr>
              <w:t>固定资产减值损失</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BA37B5F" w14:textId="77777777" w:rsidR="00005BF1" w:rsidRPr="00B51B7C" w:rsidRDefault="00005BF1" w:rsidP="00F46C6A">
            <w:pPr>
              <w:widowControl/>
              <w:spacing w:line="276" w:lineRule="auto"/>
              <w:jc w:val="right"/>
              <w:rPr>
                <w:rFonts w:asciiTheme="minorEastAsia" w:hAnsiTheme="minorEastAsia" w:cs="Arial"/>
                <w:kern w:val="0"/>
                <w:szCs w:val="21"/>
              </w:rPr>
            </w:pPr>
            <w:r w:rsidRPr="00B51B7C">
              <w:rPr>
                <w:rFonts w:asciiTheme="minorEastAsia" w:hAnsiTheme="minorEastAsia" w:cs="Arial" w:hint="eastAsia"/>
                <w:kern w:val="0"/>
                <w:szCs w:val="21"/>
              </w:rPr>
              <w:t xml:space="preserve"> -56,285.22 </w:t>
            </w:r>
          </w:p>
        </w:tc>
        <w:tc>
          <w:tcPr>
            <w:tcW w:w="3261" w:type="dxa"/>
            <w:tcBorders>
              <w:top w:val="single" w:sz="4" w:space="0" w:color="auto"/>
              <w:left w:val="single" w:sz="4" w:space="0" w:color="auto"/>
              <w:bottom w:val="single" w:sz="4" w:space="0" w:color="auto"/>
              <w:right w:val="single" w:sz="4" w:space="0" w:color="auto"/>
            </w:tcBorders>
            <w:noWrap/>
            <w:vAlign w:val="center"/>
          </w:tcPr>
          <w:p w14:paraId="59C0BA69" w14:textId="7C2DA378" w:rsidR="00005BF1" w:rsidRPr="00B51B7C" w:rsidRDefault="00005BF1" w:rsidP="00F46C6A">
            <w:pPr>
              <w:widowControl/>
              <w:spacing w:line="276" w:lineRule="auto"/>
              <w:jc w:val="right"/>
              <w:rPr>
                <w:rFonts w:asciiTheme="minorEastAsia" w:hAnsiTheme="minorEastAsia" w:cs="Arial"/>
                <w:kern w:val="0"/>
                <w:szCs w:val="21"/>
              </w:rPr>
            </w:pPr>
            <w:r w:rsidRPr="00B51B7C">
              <w:rPr>
                <w:rFonts w:asciiTheme="minorEastAsia" w:hAnsiTheme="minorEastAsia" w:cs="Arial" w:hint="eastAsia"/>
                <w:kern w:val="0"/>
                <w:szCs w:val="21"/>
              </w:rPr>
              <w:t>-6,916.52</w:t>
            </w:r>
          </w:p>
        </w:tc>
      </w:tr>
      <w:tr w:rsidR="00005BF1" w:rsidRPr="00B51B7C" w14:paraId="389A98FC" w14:textId="77777777" w:rsidTr="00AC7695">
        <w:trPr>
          <w:trHeight w:val="37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3BE08E80" w14:textId="77777777" w:rsidR="00005BF1" w:rsidRPr="00B51B7C" w:rsidRDefault="00005BF1" w:rsidP="00F46C6A">
            <w:pPr>
              <w:spacing w:line="276" w:lineRule="auto"/>
              <w:rPr>
                <w:rFonts w:asciiTheme="minorEastAsia" w:hAnsiTheme="minorEastAsia" w:cs="宋体"/>
                <w:szCs w:val="21"/>
              </w:rPr>
            </w:pPr>
            <w:r w:rsidRPr="00B51B7C">
              <w:rPr>
                <w:rFonts w:asciiTheme="minorEastAsia" w:hAnsiTheme="minorEastAsia" w:hint="eastAsia"/>
                <w:szCs w:val="21"/>
              </w:rPr>
              <w:t>在建工程减值损失</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0C7A8C1" w14:textId="77777777" w:rsidR="00005BF1" w:rsidRPr="00B51B7C" w:rsidRDefault="00005BF1" w:rsidP="00F46C6A">
            <w:pPr>
              <w:widowControl/>
              <w:spacing w:line="276" w:lineRule="auto"/>
              <w:jc w:val="right"/>
              <w:rPr>
                <w:rFonts w:asciiTheme="minorEastAsia" w:hAnsiTheme="minorEastAsia" w:cs="Arial"/>
                <w:kern w:val="0"/>
                <w:szCs w:val="21"/>
              </w:rPr>
            </w:pPr>
            <w:r w:rsidRPr="00B51B7C">
              <w:rPr>
                <w:rFonts w:asciiTheme="minorEastAsia" w:hAnsiTheme="minorEastAsia" w:cs="Arial" w:hint="eastAsia"/>
                <w:kern w:val="0"/>
                <w:szCs w:val="21"/>
              </w:rPr>
              <w:t xml:space="preserve"> -21,581.36 </w:t>
            </w:r>
          </w:p>
        </w:tc>
        <w:tc>
          <w:tcPr>
            <w:tcW w:w="3261" w:type="dxa"/>
            <w:tcBorders>
              <w:top w:val="single" w:sz="4" w:space="0" w:color="auto"/>
              <w:left w:val="single" w:sz="4" w:space="0" w:color="auto"/>
              <w:bottom w:val="single" w:sz="4" w:space="0" w:color="auto"/>
              <w:right w:val="single" w:sz="4" w:space="0" w:color="auto"/>
            </w:tcBorders>
            <w:noWrap/>
            <w:vAlign w:val="center"/>
          </w:tcPr>
          <w:p w14:paraId="76A1CF4C" w14:textId="7DE53B09" w:rsidR="00005BF1" w:rsidRPr="00B51B7C" w:rsidRDefault="00005BF1" w:rsidP="00F46C6A">
            <w:pPr>
              <w:widowControl/>
              <w:spacing w:line="276" w:lineRule="auto"/>
              <w:jc w:val="right"/>
              <w:rPr>
                <w:rFonts w:asciiTheme="minorEastAsia" w:hAnsiTheme="minorEastAsia" w:cs="Arial"/>
                <w:kern w:val="0"/>
                <w:szCs w:val="21"/>
              </w:rPr>
            </w:pPr>
          </w:p>
        </w:tc>
      </w:tr>
      <w:tr w:rsidR="00005BF1" w:rsidRPr="00B51B7C" w14:paraId="0B6F844A" w14:textId="77777777" w:rsidTr="00AC7695">
        <w:trPr>
          <w:trHeight w:val="418"/>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DEBD77C" w14:textId="77777777" w:rsidR="00005BF1" w:rsidRPr="00B51B7C" w:rsidRDefault="00005BF1" w:rsidP="00F46C6A">
            <w:pPr>
              <w:spacing w:line="276" w:lineRule="auto"/>
              <w:rPr>
                <w:rFonts w:asciiTheme="minorEastAsia" w:hAnsiTheme="minorEastAsia" w:cs="宋体"/>
                <w:szCs w:val="21"/>
              </w:rPr>
            </w:pPr>
            <w:r w:rsidRPr="00B51B7C">
              <w:rPr>
                <w:rFonts w:asciiTheme="minorEastAsia" w:hAnsiTheme="minorEastAsia" w:hint="eastAsia"/>
                <w:szCs w:val="21"/>
              </w:rPr>
              <w:t>长期股权投资减值损失</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BB68503" w14:textId="77777777" w:rsidR="00005BF1" w:rsidRPr="00B51B7C" w:rsidRDefault="00005BF1" w:rsidP="00F46C6A">
            <w:pPr>
              <w:widowControl/>
              <w:spacing w:line="276" w:lineRule="auto"/>
              <w:jc w:val="right"/>
              <w:rPr>
                <w:rFonts w:asciiTheme="minorEastAsia" w:hAnsiTheme="minorEastAsia" w:cs="Arial"/>
                <w:kern w:val="0"/>
                <w:szCs w:val="21"/>
              </w:rPr>
            </w:pPr>
            <w:r w:rsidRPr="00B51B7C">
              <w:rPr>
                <w:rFonts w:asciiTheme="minorEastAsia" w:hAnsiTheme="minorEastAsia" w:cs="Arial" w:hint="eastAsia"/>
                <w:kern w:val="0"/>
                <w:szCs w:val="21"/>
              </w:rPr>
              <w:t xml:space="preserve">  -1,391.81 </w:t>
            </w:r>
          </w:p>
        </w:tc>
        <w:tc>
          <w:tcPr>
            <w:tcW w:w="3261" w:type="dxa"/>
            <w:tcBorders>
              <w:top w:val="single" w:sz="4" w:space="0" w:color="auto"/>
              <w:left w:val="single" w:sz="4" w:space="0" w:color="auto"/>
              <w:bottom w:val="single" w:sz="4" w:space="0" w:color="auto"/>
              <w:right w:val="single" w:sz="4" w:space="0" w:color="auto"/>
            </w:tcBorders>
            <w:noWrap/>
            <w:vAlign w:val="center"/>
          </w:tcPr>
          <w:p w14:paraId="2419C38B" w14:textId="5E16BFA1" w:rsidR="00005BF1" w:rsidRPr="00B51B7C" w:rsidRDefault="00005BF1" w:rsidP="00F46C6A">
            <w:pPr>
              <w:widowControl/>
              <w:spacing w:line="276" w:lineRule="auto"/>
              <w:jc w:val="right"/>
              <w:rPr>
                <w:rFonts w:asciiTheme="minorEastAsia" w:hAnsiTheme="minorEastAsia" w:cs="Arial"/>
                <w:kern w:val="0"/>
                <w:szCs w:val="21"/>
              </w:rPr>
            </w:pPr>
          </w:p>
        </w:tc>
      </w:tr>
      <w:tr w:rsidR="00005BF1" w:rsidRPr="00B51B7C" w14:paraId="5DF9FCBE" w14:textId="77777777" w:rsidTr="00AC7695">
        <w:trPr>
          <w:trHeight w:val="41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5032C7B9" w14:textId="77777777" w:rsidR="00005BF1" w:rsidRPr="00B51B7C" w:rsidRDefault="00005BF1" w:rsidP="00F46C6A">
            <w:pPr>
              <w:widowControl/>
              <w:spacing w:line="276" w:lineRule="auto"/>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合计</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724F0EE" w14:textId="77777777" w:rsidR="00005BF1" w:rsidRPr="00B51B7C" w:rsidRDefault="00005BF1" w:rsidP="00F46C6A">
            <w:pPr>
              <w:widowControl/>
              <w:spacing w:line="276" w:lineRule="auto"/>
              <w:jc w:val="right"/>
              <w:rPr>
                <w:rFonts w:asciiTheme="minorEastAsia" w:hAnsiTheme="minorEastAsia" w:cs="Arial"/>
                <w:b/>
                <w:bCs/>
                <w:kern w:val="0"/>
                <w:szCs w:val="21"/>
              </w:rPr>
            </w:pPr>
            <w:r w:rsidRPr="00B51B7C">
              <w:rPr>
                <w:rFonts w:asciiTheme="minorEastAsia" w:hAnsiTheme="minorEastAsia" w:cs="Arial" w:hint="eastAsia"/>
                <w:b/>
                <w:bCs/>
                <w:kern w:val="0"/>
                <w:szCs w:val="21"/>
              </w:rPr>
              <w:t xml:space="preserve"> -88,988.89 </w:t>
            </w:r>
          </w:p>
        </w:tc>
        <w:tc>
          <w:tcPr>
            <w:tcW w:w="3261" w:type="dxa"/>
            <w:tcBorders>
              <w:top w:val="single" w:sz="4" w:space="0" w:color="auto"/>
              <w:left w:val="single" w:sz="4" w:space="0" w:color="auto"/>
              <w:bottom w:val="single" w:sz="4" w:space="0" w:color="auto"/>
              <w:right w:val="single" w:sz="4" w:space="0" w:color="auto"/>
            </w:tcBorders>
            <w:noWrap/>
            <w:vAlign w:val="center"/>
          </w:tcPr>
          <w:p w14:paraId="6F3BA370" w14:textId="77777777" w:rsidR="00005BF1" w:rsidRPr="00B51B7C" w:rsidRDefault="00005BF1" w:rsidP="00F46C6A">
            <w:pPr>
              <w:widowControl/>
              <w:spacing w:line="276" w:lineRule="auto"/>
              <w:jc w:val="right"/>
              <w:rPr>
                <w:rFonts w:asciiTheme="minorEastAsia" w:hAnsiTheme="minorEastAsia" w:cs="Arial"/>
                <w:b/>
                <w:bCs/>
                <w:kern w:val="0"/>
                <w:szCs w:val="21"/>
              </w:rPr>
            </w:pPr>
            <w:r w:rsidRPr="00B51B7C">
              <w:rPr>
                <w:rFonts w:asciiTheme="minorEastAsia" w:hAnsiTheme="minorEastAsia" w:cs="Arial" w:hint="eastAsia"/>
                <w:b/>
                <w:bCs/>
                <w:kern w:val="0"/>
                <w:szCs w:val="21"/>
              </w:rPr>
              <w:t>-8,894.45</w:t>
            </w:r>
          </w:p>
        </w:tc>
      </w:tr>
    </w:tbl>
    <w:p w14:paraId="5A61E501" w14:textId="77777777" w:rsidR="00005BF1" w:rsidRPr="00B51B7C" w:rsidRDefault="00005BF1" w:rsidP="00005BF1">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lastRenderedPageBreak/>
        <w:t>2、2024年度计提应收账款坏账损失</w:t>
      </w:r>
      <w:r w:rsidRPr="00B51B7C">
        <w:rPr>
          <w:rFonts w:asciiTheme="minorEastAsia" w:hAnsiTheme="minorEastAsia" w:cs="宋体"/>
          <w:kern w:val="0"/>
          <w:sz w:val="24"/>
        </w:rPr>
        <w:t>32,047.31</w:t>
      </w:r>
      <w:r w:rsidRPr="00B51B7C">
        <w:rPr>
          <w:rFonts w:asciiTheme="minorEastAsia" w:hAnsiTheme="minorEastAsia" w:cs="宋体" w:hint="eastAsia"/>
          <w:kern w:val="0"/>
          <w:sz w:val="24"/>
        </w:rPr>
        <w:t>万元，主要情况如下：</w:t>
      </w:r>
    </w:p>
    <w:p w14:paraId="789B4B59" w14:textId="6812D9ED" w:rsidR="00005BF1" w:rsidRPr="00B51B7C" w:rsidRDefault="00005BF1" w:rsidP="00005BF1">
      <w:pPr>
        <w:spacing w:line="360" w:lineRule="auto"/>
        <w:ind w:firstLineChars="200" w:firstLine="480"/>
        <w:rPr>
          <w:rFonts w:asciiTheme="minorEastAsia" w:hAnsiTheme="minorEastAsia" w:cs="宋体"/>
          <w:kern w:val="0"/>
          <w:sz w:val="24"/>
          <w:szCs w:val="24"/>
        </w:rPr>
      </w:pPr>
      <w:r w:rsidRPr="00B51B7C">
        <w:rPr>
          <w:rFonts w:asciiTheme="minorEastAsia" w:hAnsiTheme="minorEastAsia" w:cs="宋体" w:hint="eastAsia"/>
          <w:kern w:val="0"/>
          <w:sz w:val="24"/>
          <w:szCs w:val="24"/>
        </w:rPr>
        <w:t xml:space="preserve">                                                 单位：人民币万元                                                </w:t>
      </w:r>
    </w:p>
    <w:tbl>
      <w:tblPr>
        <w:tblStyle w:val="ae"/>
        <w:tblW w:w="8639" w:type="dxa"/>
        <w:jc w:val="center"/>
        <w:tblLook w:val="04A0" w:firstRow="1" w:lastRow="0" w:firstColumn="1" w:lastColumn="0" w:noHBand="0" w:noVBand="1"/>
      </w:tblPr>
      <w:tblGrid>
        <w:gridCol w:w="1158"/>
        <w:gridCol w:w="1169"/>
        <w:gridCol w:w="1076"/>
        <w:gridCol w:w="1169"/>
        <w:gridCol w:w="1169"/>
        <w:gridCol w:w="1087"/>
        <w:gridCol w:w="1169"/>
        <w:gridCol w:w="642"/>
      </w:tblGrid>
      <w:tr w:rsidR="00AC7695" w:rsidRPr="00B51B7C" w14:paraId="588D86F1" w14:textId="77777777" w:rsidTr="00AC7695">
        <w:trPr>
          <w:jc w:val="center"/>
        </w:trPr>
        <w:tc>
          <w:tcPr>
            <w:tcW w:w="1158" w:type="dxa"/>
            <w:vMerge w:val="restart"/>
            <w:vAlign w:val="center"/>
          </w:tcPr>
          <w:p w14:paraId="68E3EC63"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客户名称</w:t>
            </w:r>
          </w:p>
        </w:tc>
        <w:tc>
          <w:tcPr>
            <w:tcW w:w="2245" w:type="dxa"/>
            <w:gridSpan w:val="2"/>
            <w:vAlign w:val="center"/>
          </w:tcPr>
          <w:p w14:paraId="0AF08CB3"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期初余额</w:t>
            </w:r>
          </w:p>
        </w:tc>
        <w:tc>
          <w:tcPr>
            <w:tcW w:w="3425" w:type="dxa"/>
            <w:gridSpan w:val="3"/>
            <w:vAlign w:val="center"/>
          </w:tcPr>
          <w:p w14:paraId="495276BC"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期末余额</w:t>
            </w:r>
          </w:p>
        </w:tc>
        <w:tc>
          <w:tcPr>
            <w:tcW w:w="1169" w:type="dxa"/>
            <w:vMerge w:val="restart"/>
            <w:vAlign w:val="center"/>
          </w:tcPr>
          <w:p w14:paraId="7BA1DD9D"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本期新增计提</w:t>
            </w:r>
          </w:p>
        </w:tc>
        <w:tc>
          <w:tcPr>
            <w:tcW w:w="642" w:type="dxa"/>
            <w:vMerge w:val="restart"/>
            <w:vAlign w:val="center"/>
          </w:tcPr>
          <w:p w14:paraId="0BBFCFA4"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计提理由</w:t>
            </w:r>
          </w:p>
        </w:tc>
      </w:tr>
      <w:tr w:rsidR="00AC7695" w:rsidRPr="00B51B7C" w14:paraId="6A729F5B" w14:textId="77777777" w:rsidTr="00AC7695">
        <w:trPr>
          <w:jc w:val="center"/>
        </w:trPr>
        <w:tc>
          <w:tcPr>
            <w:tcW w:w="1158" w:type="dxa"/>
            <w:vMerge/>
            <w:vAlign w:val="center"/>
          </w:tcPr>
          <w:p w14:paraId="487EA683" w14:textId="77777777" w:rsidR="00AC7695" w:rsidRPr="00B51B7C" w:rsidRDefault="00AC7695" w:rsidP="00AC7695">
            <w:pPr>
              <w:spacing w:line="276" w:lineRule="auto"/>
              <w:jc w:val="center"/>
              <w:rPr>
                <w:rFonts w:asciiTheme="minorEastAsia" w:hAnsiTheme="minorEastAsia" w:cs="宋体"/>
                <w:kern w:val="0"/>
                <w:sz w:val="24"/>
              </w:rPr>
            </w:pPr>
          </w:p>
        </w:tc>
        <w:tc>
          <w:tcPr>
            <w:tcW w:w="1169" w:type="dxa"/>
            <w:vAlign w:val="center"/>
          </w:tcPr>
          <w:p w14:paraId="3DC6DD0F"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账面余额</w:t>
            </w:r>
          </w:p>
        </w:tc>
        <w:tc>
          <w:tcPr>
            <w:tcW w:w="1076" w:type="dxa"/>
            <w:vAlign w:val="center"/>
          </w:tcPr>
          <w:p w14:paraId="111B70C1"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坏账准备</w:t>
            </w:r>
          </w:p>
        </w:tc>
        <w:tc>
          <w:tcPr>
            <w:tcW w:w="1169" w:type="dxa"/>
            <w:vAlign w:val="center"/>
          </w:tcPr>
          <w:p w14:paraId="64C14998"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账面余额</w:t>
            </w:r>
          </w:p>
        </w:tc>
        <w:tc>
          <w:tcPr>
            <w:tcW w:w="1169" w:type="dxa"/>
            <w:vAlign w:val="center"/>
          </w:tcPr>
          <w:p w14:paraId="66312FDF"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坏账准备</w:t>
            </w:r>
          </w:p>
        </w:tc>
        <w:tc>
          <w:tcPr>
            <w:tcW w:w="1087" w:type="dxa"/>
            <w:vAlign w:val="center"/>
          </w:tcPr>
          <w:p w14:paraId="08066E2F" w14:textId="77777777" w:rsidR="00AC7695" w:rsidRPr="00B51B7C" w:rsidRDefault="00AC7695" w:rsidP="00AC7695">
            <w:pPr>
              <w:spacing w:line="276" w:lineRule="auto"/>
              <w:jc w:val="center"/>
              <w:rPr>
                <w:rFonts w:asciiTheme="minorEastAsia" w:hAnsiTheme="minorEastAsia" w:cs="宋体"/>
                <w:kern w:val="0"/>
                <w:sz w:val="24"/>
              </w:rPr>
            </w:pPr>
            <w:r w:rsidRPr="00B51B7C">
              <w:rPr>
                <w:rFonts w:asciiTheme="minorEastAsia" w:hAnsiTheme="minorEastAsia" w:cs="宋体" w:hint="eastAsia"/>
                <w:b/>
                <w:bCs/>
                <w:kern w:val="0"/>
                <w:szCs w:val="21"/>
              </w:rPr>
              <w:t>计提比例</w:t>
            </w:r>
          </w:p>
        </w:tc>
        <w:tc>
          <w:tcPr>
            <w:tcW w:w="1169" w:type="dxa"/>
            <w:vMerge/>
            <w:vAlign w:val="center"/>
          </w:tcPr>
          <w:p w14:paraId="79BDB153" w14:textId="77777777" w:rsidR="00AC7695" w:rsidRPr="00B51B7C" w:rsidRDefault="00AC7695" w:rsidP="00AC7695">
            <w:pPr>
              <w:spacing w:line="276" w:lineRule="auto"/>
              <w:jc w:val="center"/>
              <w:rPr>
                <w:rFonts w:asciiTheme="minorEastAsia" w:hAnsiTheme="minorEastAsia" w:cs="宋体"/>
                <w:kern w:val="0"/>
                <w:sz w:val="24"/>
              </w:rPr>
            </w:pPr>
          </w:p>
        </w:tc>
        <w:tc>
          <w:tcPr>
            <w:tcW w:w="642" w:type="dxa"/>
            <w:vMerge/>
            <w:vAlign w:val="center"/>
          </w:tcPr>
          <w:p w14:paraId="7D48BC74" w14:textId="77777777" w:rsidR="00AC7695" w:rsidRPr="00B51B7C" w:rsidRDefault="00AC7695" w:rsidP="00AC7695">
            <w:pPr>
              <w:spacing w:line="276" w:lineRule="auto"/>
              <w:jc w:val="center"/>
              <w:rPr>
                <w:rFonts w:asciiTheme="minorEastAsia" w:hAnsiTheme="minorEastAsia" w:cs="宋体"/>
                <w:kern w:val="0"/>
                <w:sz w:val="24"/>
              </w:rPr>
            </w:pPr>
          </w:p>
        </w:tc>
      </w:tr>
      <w:tr w:rsidR="00AC7695" w:rsidRPr="00B51B7C" w14:paraId="089BB025" w14:textId="77777777" w:rsidTr="00AC7695">
        <w:trPr>
          <w:jc w:val="center"/>
        </w:trPr>
        <w:tc>
          <w:tcPr>
            <w:tcW w:w="1158" w:type="dxa"/>
            <w:vAlign w:val="bottom"/>
          </w:tcPr>
          <w:p w14:paraId="4A585195"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w:t>
            </w:r>
            <w:proofErr w:type="gramStart"/>
            <w:r w:rsidRPr="00B51B7C">
              <w:rPr>
                <w:rFonts w:asciiTheme="minorEastAsia" w:hAnsiTheme="minorEastAsia" w:hint="eastAsia"/>
                <w:color w:val="000000"/>
                <w:sz w:val="22"/>
              </w:rPr>
              <w:t>一</w:t>
            </w:r>
            <w:proofErr w:type="gramEnd"/>
          </w:p>
        </w:tc>
        <w:tc>
          <w:tcPr>
            <w:tcW w:w="1169" w:type="dxa"/>
            <w:vAlign w:val="center"/>
          </w:tcPr>
          <w:p w14:paraId="393E8DB5"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5,766.66</w:t>
            </w:r>
          </w:p>
        </w:tc>
        <w:tc>
          <w:tcPr>
            <w:tcW w:w="1076" w:type="dxa"/>
            <w:vAlign w:val="center"/>
          </w:tcPr>
          <w:p w14:paraId="2FCF24A8"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w:t>
            </w:r>
          </w:p>
        </w:tc>
        <w:tc>
          <w:tcPr>
            <w:tcW w:w="1169" w:type="dxa"/>
            <w:vAlign w:val="center"/>
          </w:tcPr>
          <w:p w14:paraId="38BE1AF2"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5,741.87</w:t>
            </w:r>
          </w:p>
        </w:tc>
        <w:tc>
          <w:tcPr>
            <w:tcW w:w="1169" w:type="dxa"/>
            <w:vAlign w:val="center"/>
          </w:tcPr>
          <w:p w14:paraId="701C8E8D"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4,593.50</w:t>
            </w:r>
          </w:p>
        </w:tc>
        <w:tc>
          <w:tcPr>
            <w:tcW w:w="1087" w:type="dxa"/>
            <w:vAlign w:val="center"/>
          </w:tcPr>
          <w:p w14:paraId="1295B2DC"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80.00%</w:t>
            </w:r>
          </w:p>
        </w:tc>
        <w:tc>
          <w:tcPr>
            <w:tcW w:w="1169" w:type="dxa"/>
            <w:vAlign w:val="center"/>
          </w:tcPr>
          <w:p w14:paraId="13FB4A50"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4,593.50</w:t>
            </w:r>
          </w:p>
        </w:tc>
        <w:tc>
          <w:tcPr>
            <w:tcW w:w="642" w:type="dxa"/>
            <w:vAlign w:val="center"/>
          </w:tcPr>
          <w:p w14:paraId="2A5E8EDE"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szCs w:val="21"/>
              </w:rPr>
              <w:t>注1</w:t>
            </w:r>
          </w:p>
        </w:tc>
      </w:tr>
      <w:tr w:rsidR="00AC7695" w:rsidRPr="00B51B7C" w14:paraId="29A25A24" w14:textId="77777777" w:rsidTr="00AC7695">
        <w:trPr>
          <w:jc w:val="center"/>
        </w:trPr>
        <w:tc>
          <w:tcPr>
            <w:tcW w:w="1158" w:type="dxa"/>
            <w:vAlign w:val="bottom"/>
          </w:tcPr>
          <w:p w14:paraId="57C13895"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客户二</w:t>
            </w:r>
          </w:p>
        </w:tc>
        <w:tc>
          <w:tcPr>
            <w:tcW w:w="1169" w:type="dxa"/>
            <w:vAlign w:val="center"/>
          </w:tcPr>
          <w:p w14:paraId="2AA48E5D"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4,890.36</w:t>
            </w:r>
          </w:p>
        </w:tc>
        <w:tc>
          <w:tcPr>
            <w:tcW w:w="1076" w:type="dxa"/>
            <w:vAlign w:val="center"/>
          </w:tcPr>
          <w:p w14:paraId="05F63E4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244.52</w:t>
            </w:r>
          </w:p>
        </w:tc>
        <w:tc>
          <w:tcPr>
            <w:tcW w:w="1169" w:type="dxa"/>
            <w:vAlign w:val="center"/>
          </w:tcPr>
          <w:p w14:paraId="52C0285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4,890.36</w:t>
            </w:r>
          </w:p>
        </w:tc>
        <w:tc>
          <w:tcPr>
            <w:tcW w:w="1169" w:type="dxa"/>
            <w:vAlign w:val="center"/>
          </w:tcPr>
          <w:p w14:paraId="30D8B028"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4,890.36</w:t>
            </w:r>
          </w:p>
        </w:tc>
        <w:tc>
          <w:tcPr>
            <w:tcW w:w="1087" w:type="dxa"/>
            <w:vAlign w:val="center"/>
          </w:tcPr>
          <w:p w14:paraId="03EAAF80"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5D5B611E"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4,645.84</w:t>
            </w:r>
          </w:p>
        </w:tc>
        <w:tc>
          <w:tcPr>
            <w:tcW w:w="642" w:type="dxa"/>
            <w:vMerge w:val="restart"/>
            <w:vAlign w:val="center"/>
          </w:tcPr>
          <w:p w14:paraId="15A9AEC4"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cs="宋体" w:hint="eastAsia"/>
                <w:kern w:val="0"/>
                <w:szCs w:val="21"/>
              </w:rPr>
              <w:t>注2</w:t>
            </w:r>
          </w:p>
        </w:tc>
      </w:tr>
      <w:tr w:rsidR="00AC7695" w:rsidRPr="00B51B7C" w14:paraId="608A3C68" w14:textId="77777777" w:rsidTr="00AC7695">
        <w:trPr>
          <w:jc w:val="center"/>
        </w:trPr>
        <w:tc>
          <w:tcPr>
            <w:tcW w:w="1158" w:type="dxa"/>
            <w:vAlign w:val="bottom"/>
          </w:tcPr>
          <w:p w14:paraId="5468CEC0"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客户三</w:t>
            </w:r>
          </w:p>
        </w:tc>
        <w:tc>
          <w:tcPr>
            <w:tcW w:w="1169" w:type="dxa"/>
            <w:vAlign w:val="center"/>
          </w:tcPr>
          <w:p w14:paraId="53D07404"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4,903.78</w:t>
            </w:r>
          </w:p>
        </w:tc>
        <w:tc>
          <w:tcPr>
            <w:tcW w:w="1076" w:type="dxa"/>
            <w:vAlign w:val="center"/>
          </w:tcPr>
          <w:p w14:paraId="7EFF963D"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245.19</w:t>
            </w:r>
          </w:p>
        </w:tc>
        <w:tc>
          <w:tcPr>
            <w:tcW w:w="1169" w:type="dxa"/>
            <w:vAlign w:val="center"/>
          </w:tcPr>
          <w:p w14:paraId="2E33ABB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4,683.78</w:t>
            </w:r>
          </w:p>
        </w:tc>
        <w:tc>
          <w:tcPr>
            <w:tcW w:w="1169" w:type="dxa"/>
            <w:vAlign w:val="center"/>
          </w:tcPr>
          <w:p w14:paraId="0F4FEB4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4,683.78</w:t>
            </w:r>
          </w:p>
        </w:tc>
        <w:tc>
          <w:tcPr>
            <w:tcW w:w="1087" w:type="dxa"/>
            <w:vAlign w:val="center"/>
          </w:tcPr>
          <w:p w14:paraId="0802653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5EF238C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4,438.59</w:t>
            </w:r>
          </w:p>
        </w:tc>
        <w:tc>
          <w:tcPr>
            <w:tcW w:w="642" w:type="dxa"/>
            <w:vMerge/>
            <w:vAlign w:val="center"/>
          </w:tcPr>
          <w:p w14:paraId="0D7870C0"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50D95FB3" w14:textId="77777777" w:rsidTr="00AC7695">
        <w:trPr>
          <w:jc w:val="center"/>
        </w:trPr>
        <w:tc>
          <w:tcPr>
            <w:tcW w:w="1158" w:type="dxa"/>
            <w:vAlign w:val="bottom"/>
          </w:tcPr>
          <w:p w14:paraId="323C46A3"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客户四</w:t>
            </w:r>
          </w:p>
        </w:tc>
        <w:tc>
          <w:tcPr>
            <w:tcW w:w="1169" w:type="dxa"/>
            <w:vAlign w:val="center"/>
          </w:tcPr>
          <w:p w14:paraId="4D6EA16C"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3,509.50</w:t>
            </w:r>
          </w:p>
        </w:tc>
        <w:tc>
          <w:tcPr>
            <w:tcW w:w="1076" w:type="dxa"/>
            <w:vAlign w:val="center"/>
          </w:tcPr>
          <w:p w14:paraId="28338DA5"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193.48</w:t>
            </w:r>
          </w:p>
        </w:tc>
        <w:tc>
          <w:tcPr>
            <w:tcW w:w="1169" w:type="dxa"/>
            <w:vAlign w:val="center"/>
          </w:tcPr>
          <w:p w14:paraId="5CCDAB8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3,509.50</w:t>
            </w:r>
          </w:p>
        </w:tc>
        <w:tc>
          <w:tcPr>
            <w:tcW w:w="1169" w:type="dxa"/>
            <w:vAlign w:val="center"/>
          </w:tcPr>
          <w:p w14:paraId="59399FBF"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3,509.50</w:t>
            </w:r>
          </w:p>
        </w:tc>
        <w:tc>
          <w:tcPr>
            <w:tcW w:w="1087" w:type="dxa"/>
            <w:vAlign w:val="center"/>
          </w:tcPr>
          <w:p w14:paraId="12B25674"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5EAB617A"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3,316.02</w:t>
            </w:r>
          </w:p>
        </w:tc>
        <w:tc>
          <w:tcPr>
            <w:tcW w:w="642" w:type="dxa"/>
            <w:vMerge/>
            <w:vAlign w:val="center"/>
          </w:tcPr>
          <w:p w14:paraId="6FC76E24"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1838E2C2" w14:textId="77777777" w:rsidTr="00AC7695">
        <w:trPr>
          <w:jc w:val="center"/>
        </w:trPr>
        <w:tc>
          <w:tcPr>
            <w:tcW w:w="1158" w:type="dxa"/>
            <w:vAlign w:val="bottom"/>
          </w:tcPr>
          <w:p w14:paraId="3E394359"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客户五</w:t>
            </w:r>
          </w:p>
        </w:tc>
        <w:tc>
          <w:tcPr>
            <w:tcW w:w="1169" w:type="dxa"/>
            <w:vAlign w:val="center"/>
          </w:tcPr>
          <w:p w14:paraId="35D987B2"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545.89</w:t>
            </w:r>
          </w:p>
        </w:tc>
        <w:tc>
          <w:tcPr>
            <w:tcW w:w="1076" w:type="dxa"/>
            <w:vAlign w:val="center"/>
          </w:tcPr>
          <w:p w14:paraId="753793BF"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54.59</w:t>
            </w:r>
          </w:p>
        </w:tc>
        <w:tc>
          <w:tcPr>
            <w:tcW w:w="1169" w:type="dxa"/>
            <w:vAlign w:val="center"/>
          </w:tcPr>
          <w:p w14:paraId="702C0FA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545.89</w:t>
            </w:r>
          </w:p>
        </w:tc>
        <w:tc>
          <w:tcPr>
            <w:tcW w:w="1169" w:type="dxa"/>
            <w:vAlign w:val="center"/>
          </w:tcPr>
          <w:p w14:paraId="656170E0"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545.89</w:t>
            </w:r>
          </w:p>
        </w:tc>
        <w:tc>
          <w:tcPr>
            <w:tcW w:w="1087" w:type="dxa"/>
            <w:vAlign w:val="center"/>
          </w:tcPr>
          <w:p w14:paraId="6634414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7DB91CF4"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491.30</w:t>
            </w:r>
          </w:p>
        </w:tc>
        <w:tc>
          <w:tcPr>
            <w:tcW w:w="642" w:type="dxa"/>
            <w:vMerge/>
            <w:vAlign w:val="center"/>
          </w:tcPr>
          <w:p w14:paraId="4198A684"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382941D6" w14:textId="77777777" w:rsidTr="00AC7695">
        <w:trPr>
          <w:jc w:val="center"/>
        </w:trPr>
        <w:tc>
          <w:tcPr>
            <w:tcW w:w="1158" w:type="dxa"/>
            <w:vAlign w:val="bottom"/>
          </w:tcPr>
          <w:p w14:paraId="595FE6EB"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客户六</w:t>
            </w:r>
          </w:p>
        </w:tc>
        <w:tc>
          <w:tcPr>
            <w:tcW w:w="1169" w:type="dxa"/>
            <w:vAlign w:val="center"/>
          </w:tcPr>
          <w:p w14:paraId="4F2AB94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300.00</w:t>
            </w:r>
          </w:p>
        </w:tc>
        <w:tc>
          <w:tcPr>
            <w:tcW w:w="1076" w:type="dxa"/>
            <w:vAlign w:val="center"/>
          </w:tcPr>
          <w:p w14:paraId="3512FF4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15.00</w:t>
            </w:r>
          </w:p>
        </w:tc>
        <w:tc>
          <w:tcPr>
            <w:tcW w:w="1169" w:type="dxa"/>
            <w:vAlign w:val="center"/>
          </w:tcPr>
          <w:p w14:paraId="34D85E3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295.00</w:t>
            </w:r>
          </w:p>
        </w:tc>
        <w:tc>
          <w:tcPr>
            <w:tcW w:w="1169" w:type="dxa"/>
            <w:vAlign w:val="center"/>
          </w:tcPr>
          <w:p w14:paraId="6BA38E3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295.00</w:t>
            </w:r>
          </w:p>
        </w:tc>
        <w:tc>
          <w:tcPr>
            <w:tcW w:w="1087" w:type="dxa"/>
            <w:vAlign w:val="center"/>
          </w:tcPr>
          <w:p w14:paraId="7C93C831"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4C73F58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280.00</w:t>
            </w:r>
          </w:p>
        </w:tc>
        <w:tc>
          <w:tcPr>
            <w:tcW w:w="642" w:type="dxa"/>
            <w:vMerge/>
            <w:vAlign w:val="center"/>
          </w:tcPr>
          <w:p w14:paraId="179E8A38"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2CFB96F5" w14:textId="77777777" w:rsidTr="00AC7695">
        <w:trPr>
          <w:jc w:val="center"/>
        </w:trPr>
        <w:tc>
          <w:tcPr>
            <w:tcW w:w="1158" w:type="dxa"/>
            <w:vAlign w:val="bottom"/>
          </w:tcPr>
          <w:p w14:paraId="21CF9120" w14:textId="77777777" w:rsidR="00AC7695" w:rsidRPr="00B51B7C" w:rsidRDefault="00AC7695" w:rsidP="00AC7695">
            <w:pPr>
              <w:spacing w:line="276" w:lineRule="auto"/>
              <w:jc w:val="center"/>
              <w:rPr>
                <w:rFonts w:asciiTheme="minorEastAsia" w:hAnsiTheme="minorEastAsia" w:cs="宋体"/>
                <w:kern w:val="0"/>
                <w:szCs w:val="21"/>
              </w:rPr>
            </w:pPr>
            <w:proofErr w:type="gramStart"/>
            <w:r w:rsidRPr="00B51B7C">
              <w:rPr>
                <w:rFonts w:asciiTheme="minorEastAsia" w:hAnsiTheme="minorEastAsia" w:hint="eastAsia"/>
                <w:color w:val="000000"/>
                <w:sz w:val="22"/>
              </w:rPr>
              <w:t>客户七</w:t>
            </w:r>
            <w:proofErr w:type="gramEnd"/>
          </w:p>
        </w:tc>
        <w:tc>
          <w:tcPr>
            <w:tcW w:w="1169" w:type="dxa"/>
            <w:vAlign w:val="center"/>
          </w:tcPr>
          <w:p w14:paraId="32FF3F0F"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076" w:type="dxa"/>
            <w:vAlign w:val="center"/>
          </w:tcPr>
          <w:p w14:paraId="0522F26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5.00</w:t>
            </w:r>
          </w:p>
        </w:tc>
        <w:tc>
          <w:tcPr>
            <w:tcW w:w="1169" w:type="dxa"/>
            <w:vAlign w:val="center"/>
          </w:tcPr>
          <w:p w14:paraId="28BA05A1"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78.00</w:t>
            </w:r>
          </w:p>
        </w:tc>
        <w:tc>
          <w:tcPr>
            <w:tcW w:w="1169" w:type="dxa"/>
            <w:vAlign w:val="center"/>
          </w:tcPr>
          <w:p w14:paraId="0376AB6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78.00</w:t>
            </w:r>
          </w:p>
        </w:tc>
        <w:tc>
          <w:tcPr>
            <w:tcW w:w="1087" w:type="dxa"/>
            <w:vAlign w:val="center"/>
          </w:tcPr>
          <w:p w14:paraId="7A9A9E4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18B70068"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73.00</w:t>
            </w:r>
          </w:p>
        </w:tc>
        <w:tc>
          <w:tcPr>
            <w:tcW w:w="642" w:type="dxa"/>
            <w:vMerge/>
            <w:vAlign w:val="center"/>
          </w:tcPr>
          <w:p w14:paraId="3F975DF0"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001242CF" w14:textId="77777777" w:rsidTr="00AC7695">
        <w:trPr>
          <w:jc w:val="center"/>
        </w:trPr>
        <w:tc>
          <w:tcPr>
            <w:tcW w:w="1158" w:type="dxa"/>
            <w:vAlign w:val="bottom"/>
          </w:tcPr>
          <w:p w14:paraId="4ADAF584" w14:textId="77777777" w:rsidR="00AC7695" w:rsidRPr="00B51B7C" w:rsidRDefault="00AC7695" w:rsidP="00AC7695">
            <w:pPr>
              <w:spacing w:line="276" w:lineRule="auto"/>
              <w:jc w:val="center"/>
              <w:rPr>
                <w:rFonts w:asciiTheme="minorEastAsia" w:hAnsiTheme="minorEastAsia" w:cs="宋体"/>
                <w:kern w:val="0"/>
                <w:szCs w:val="21"/>
              </w:rPr>
            </w:pPr>
            <w:proofErr w:type="gramStart"/>
            <w:r w:rsidRPr="00B51B7C">
              <w:rPr>
                <w:rFonts w:asciiTheme="minorEastAsia" w:hAnsiTheme="minorEastAsia" w:hint="eastAsia"/>
                <w:color w:val="000000"/>
                <w:sz w:val="22"/>
              </w:rPr>
              <w:t>客户八</w:t>
            </w:r>
            <w:proofErr w:type="gramEnd"/>
          </w:p>
        </w:tc>
        <w:tc>
          <w:tcPr>
            <w:tcW w:w="1169" w:type="dxa"/>
            <w:vAlign w:val="center"/>
          </w:tcPr>
          <w:p w14:paraId="4D09B1DA"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472.70</w:t>
            </w:r>
          </w:p>
        </w:tc>
        <w:tc>
          <w:tcPr>
            <w:tcW w:w="1076" w:type="dxa"/>
            <w:vAlign w:val="center"/>
          </w:tcPr>
          <w:p w14:paraId="07F8DD6D"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47.27</w:t>
            </w:r>
          </w:p>
        </w:tc>
        <w:tc>
          <w:tcPr>
            <w:tcW w:w="1169" w:type="dxa"/>
            <w:vAlign w:val="center"/>
          </w:tcPr>
          <w:p w14:paraId="71536148"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472.70</w:t>
            </w:r>
          </w:p>
        </w:tc>
        <w:tc>
          <w:tcPr>
            <w:tcW w:w="1169" w:type="dxa"/>
            <w:vAlign w:val="center"/>
          </w:tcPr>
          <w:p w14:paraId="26C7FA5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472.70</w:t>
            </w:r>
          </w:p>
        </w:tc>
        <w:tc>
          <w:tcPr>
            <w:tcW w:w="1087" w:type="dxa"/>
            <w:vAlign w:val="center"/>
          </w:tcPr>
          <w:p w14:paraId="60DAFCA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4C1C2701"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425.43</w:t>
            </w:r>
          </w:p>
        </w:tc>
        <w:tc>
          <w:tcPr>
            <w:tcW w:w="642" w:type="dxa"/>
            <w:vMerge/>
            <w:vAlign w:val="center"/>
          </w:tcPr>
          <w:p w14:paraId="6F112701"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3510FD44" w14:textId="77777777" w:rsidTr="00AC7695">
        <w:trPr>
          <w:jc w:val="center"/>
        </w:trPr>
        <w:tc>
          <w:tcPr>
            <w:tcW w:w="1158" w:type="dxa"/>
            <w:vAlign w:val="bottom"/>
          </w:tcPr>
          <w:p w14:paraId="5799B2F9"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客户九</w:t>
            </w:r>
          </w:p>
        </w:tc>
        <w:tc>
          <w:tcPr>
            <w:tcW w:w="1169" w:type="dxa"/>
            <w:vAlign w:val="center"/>
          </w:tcPr>
          <w:p w14:paraId="3E73E801"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1,254.22</w:t>
            </w:r>
          </w:p>
        </w:tc>
        <w:tc>
          <w:tcPr>
            <w:tcW w:w="1076" w:type="dxa"/>
            <w:vAlign w:val="center"/>
          </w:tcPr>
          <w:p w14:paraId="7F9844E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1,128.79</w:t>
            </w:r>
          </w:p>
        </w:tc>
        <w:tc>
          <w:tcPr>
            <w:tcW w:w="1169" w:type="dxa"/>
            <w:vAlign w:val="center"/>
          </w:tcPr>
          <w:p w14:paraId="0F984A42"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1,254.22</w:t>
            </w:r>
          </w:p>
        </w:tc>
        <w:tc>
          <w:tcPr>
            <w:tcW w:w="1169" w:type="dxa"/>
            <w:vAlign w:val="center"/>
          </w:tcPr>
          <w:p w14:paraId="60656EA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1,254.22</w:t>
            </w:r>
          </w:p>
        </w:tc>
        <w:tc>
          <w:tcPr>
            <w:tcW w:w="1087" w:type="dxa"/>
            <w:vAlign w:val="center"/>
          </w:tcPr>
          <w:p w14:paraId="2E533B70"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4A1BFCB2"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125.43</w:t>
            </w:r>
          </w:p>
        </w:tc>
        <w:tc>
          <w:tcPr>
            <w:tcW w:w="642" w:type="dxa"/>
            <w:vMerge/>
            <w:vAlign w:val="center"/>
          </w:tcPr>
          <w:p w14:paraId="2EBA1DAB"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19468C8E" w14:textId="77777777" w:rsidTr="00AC7695">
        <w:trPr>
          <w:jc w:val="center"/>
        </w:trPr>
        <w:tc>
          <w:tcPr>
            <w:tcW w:w="1158" w:type="dxa"/>
            <w:vAlign w:val="bottom"/>
          </w:tcPr>
          <w:p w14:paraId="67D0F2DE"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客户十</w:t>
            </w:r>
          </w:p>
        </w:tc>
        <w:tc>
          <w:tcPr>
            <w:tcW w:w="1169" w:type="dxa"/>
            <w:vAlign w:val="center"/>
          </w:tcPr>
          <w:p w14:paraId="56020E55"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color w:val="000000"/>
                <w:szCs w:val="21"/>
              </w:rPr>
              <w:t>1,251.41</w:t>
            </w:r>
          </w:p>
        </w:tc>
        <w:tc>
          <w:tcPr>
            <w:tcW w:w="1076" w:type="dxa"/>
            <w:vAlign w:val="center"/>
          </w:tcPr>
          <w:p w14:paraId="27ECAAFF"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color w:val="000000"/>
                <w:szCs w:val="21"/>
              </w:rPr>
              <w:t>62.57</w:t>
            </w:r>
          </w:p>
        </w:tc>
        <w:tc>
          <w:tcPr>
            <w:tcW w:w="1169" w:type="dxa"/>
            <w:vAlign w:val="center"/>
          </w:tcPr>
          <w:p w14:paraId="3D68C37E"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color w:val="000000"/>
                <w:szCs w:val="21"/>
              </w:rPr>
              <w:t>1,058.81</w:t>
            </w:r>
          </w:p>
        </w:tc>
        <w:tc>
          <w:tcPr>
            <w:tcW w:w="1169" w:type="dxa"/>
            <w:vAlign w:val="center"/>
          </w:tcPr>
          <w:p w14:paraId="77207DD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color w:val="000000"/>
                <w:szCs w:val="21"/>
              </w:rPr>
              <w:t>1,058.81</w:t>
            </w:r>
          </w:p>
        </w:tc>
        <w:tc>
          <w:tcPr>
            <w:tcW w:w="1087" w:type="dxa"/>
            <w:vAlign w:val="center"/>
          </w:tcPr>
          <w:p w14:paraId="34892688"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color w:val="000000"/>
                <w:szCs w:val="21"/>
              </w:rPr>
              <w:t>100.00%</w:t>
            </w:r>
          </w:p>
        </w:tc>
        <w:tc>
          <w:tcPr>
            <w:tcW w:w="1169" w:type="dxa"/>
            <w:vAlign w:val="center"/>
          </w:tcPr>
          <w:p w14:paraId="0C97FF82"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color w:val="000000"/>
                <w:szCs w:val="21"/>
              </w:rPr>
              <w:t>996.24</w:t>
            </w:r>
          </w:p>
        </w:tc>
        <w:tc>
          <w:tcPr>
            <w:tcW w:w="642" w:type="dxa"/>
            <w:vMerge/>
            <w:vAlign w:val="center"/>
          </w:tcPr>
          <w:p w14:paraId="3E31D85F"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7F72BB9D" w14:textId="77777777" w:rsidTr="00AC7695">
        <w:trPr>
          <w:jc w:val="center"/>
        </w:trPr>
        <w:tc>
          <w:tcPr>
            <w:tcW w:w="1158" w:type="dxa"/>
            <w:vAlign w:val="bottom"/>
          </w:tcPr>
          <w:p w14:paraId="428AE779"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客户十一</w:t>
            </w:r>
          </w:p>
        </w:tc>
        <w:tc>
          <w:tcPr>
            <w:tcW w:w="1169" w:type="dxa"/>
            <w:vAlign w:val="center"/>
          </w:tcPr>
          <w:p w14:paraId="65DED62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2,355.55</w:t>
            </w:r>
          </w:p>
        </w:tc>
        <w:tc>
          <w:tcPr>
            <w:tcW w:w="1076" w:type="dxa"/>
            <w:vAlign w:val="center"/>
          </w:tcPr>
          <w:p w14:paraId="30CACE7E"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473.65</w:t>
            </w:r>
          </w:p>
        </w:tc>
        <w:tc>
          <w:tcPr>
            <w:tcW w:w="1169" w:type="dxa"/>
            <w:vAlign w:val="center"/>
          </w:tcPr>
          <w:p w14:paraId="6F608B51"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2,355.55</w:t>
            </w:r>
          </w:p>
        </w:tc>
        <w:tc>
          <w:tcPr>
            <w:tcW w:w="1169" w:type="dxa"/>
            <w:vAlign w:val="center"/>
          </w:tcPr>
          <w:p w14:paraId="65CD9092"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2,355.55</w:t>
            </w:r>
          </w:p>
        </w:tc>
        <w:tc>
          <w:tcPr>
            <w:tcW w:w="1087" w:type="dxa"/>
            <w:vAlign w:val="center"/>
          </w:tcPr>
          <w:p w14:paraId="1A300B7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40352A60"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1,881.90</w:t>
            </w:r>
          </w:p>
        </w:tc>
        <w:tc>
          <w:tcPr>
            <w:tcW w:w="642" w:type="dxa"/>
            <w:vMerge w:val="restart"/>
            <w:vAlign w:val="center"/>
          </w:tcPr>
          <w:p w14:paraId="52A783A9"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cs="宋体" w:hint="eastAsia"/>
                <w:kern w:val="0"/>
                <w:szCs w:val="21"/>
              </w:rPr>
              <w:t>注3</w:t>
            </w:r>
          </w:p>
        </w:tc>
      </w:tr>
      <w:tr w:rsidR="00AC7695" w:rsidRPr="00B51B7C" w14:paraId="2FA75861" w14:textId="77777777" w:rsidTr="00AC7695">
        <w:trPr>
          <w:jc w:val="center"/>
        </w:trPr>
        <w:tc>
          <w:tcPr>
            <w:tcW w:w="1158" w:type="dxa"/>
            <w:vAlign w:val="bottom"/>
          </w:tcPr>
          <w:p w14:paraId="6F947257"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客户十二</w:t>
            </w:r>
          </w:p>
        </w:tc>
        <w:tc>
          <w:tcPr>
            <w:tcW w:w="1169" w:type="dxa"/>
            <w:vAlign w:val="center"/>
          </w:tcPr>
          <w:p w14:paraId="2CF35AA2"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2,108.25</w:t>
            </w:r>
          </w:p>
        </w:tc>
        <w:tc>
          <w:tcPr>
            <w:tcW w:w="1076" w:type="dxa"/>
            <w:vAlign w:val="center"/>
          </w:tcPr>
          <w:p w14:paraId="0EE8C96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326.64</w:t>
            </w:r>
          </w:p>
        </w:tc>
        <w:tc>
          <w:tcPr>
            <w:tcW w:w="1169" w:type="dxa"/>
            <w:vAlign w:val="center"/>
          </w:tcPr>
          <w:p w14:paraId="1383320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2,108.25</w:t>
            </w:r>
          </w:p>
        </w:tc>
        <w:tc>
          <w:tcPr>
            <w:tcW w:w="1169" w:type="dxa"/>
            <w:vAlign w:val="center"/>
          </w:tcPr>
          <w:p w14:paraId="2B225C68"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2,108.25</w:t>
            </w:r>
          </w:p>
        </w:tc>
        <w:tc>
          <w:tcPr>
            <w:tcW w:w="1087" w:type="dxa"/>
            <w:vAlign w:val="center"/>
          </w:tcPr>
          <w:p w14:paraId="603FC7EA"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09E5367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1,781.61</w:t>
            </w:r>
          </w:p>
        </w:tc>
        <w:tc>
          <w:tcPr>
            <w:tcW w:w="642" w:type="dxa"/>
            <w:vMerge/>
            <w:vAlign w:val="center"/>
          </w:tcPr>
          <w:p w14:paraId="39669678" w14:textId="77777777" w:rsidR="00AC7695" w:rsidRPr="00B51B7C" w:rsidRDefault="00AC7695" w:rsidP="00AC7695">
            <w:pPr>
              <w:spacing w:line="276" w:lineRule="auto"/>
              <w:jc w:val="center"/>
              <w:rPr>
                <w:rFonts w:asciiTheme="minorEastAsia" w:hAnsiTheme="minorEastAsia" w:cs="宋体"/>
                <w:kern w:val="0"/>
                <w:szCs w:val="21"/>
              </w:rPr>
            </w:pPr>
          </w:p>
        </w:tc>
      </w:tr>
      <w:tr w:rsidR="00AC7695" w:rsidRPr="00B51B7C" w14:paraId="59521B24" w14:textId="77777777" w:rsidTr="00AC7695">
        <w:trPr>
          <w:jc w:val="center"/>
        </w:trPr>
        <w:tc>
          <w:tcPr>
            <w:tcW w:w="1158" w:type="dxa"/>
            <w:vAlign w:val="bottom"/>
          </w:tcPr>
          <w:p w14:paraId="41F65276"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客户十三</w:t>
            </w:r>
          </w:p>
        </w:tc>
        <w:tc>
          <w:tcPr>
            <w:tcW w:w="1169" w:type="dxa"/>
            <w:vAlign w:val="center"/>
          </w:tcPr>
          <w:p w14:paraId="21C64ED0"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702.84</w:t>
            </w:r>
          </w:p>
        </w:tc>
        <w:tc>
          <w:tcPr>
            <w:tcW w:w="1076" w:type="dxa"/>
            <w:vAlign w:val="center"/>
          </w:tcPr>
          <w:p w14:paraId="4FCA4226"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653.92</w:t>
            </w:r>
          </w:p>
        </w:tc>
        <w:tc>
          <w:tcPr>
            <w:tcW w:w="1169" w:type="dxa"/>
            <w:vAlign w:val="center"/>
          </w:tcPr>
          <w:p w14:paraId="1D589BAD"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605.00</w:t>
            </w:r>
          </w:p>
        </w:tc>
        <w:tc>
          <w:tcPr>
            <w:tcW w:w="1169" w:type="dxa"/>
            <w:vAlign w:val="center"/>
          </w:tcPr>
          <w:p w14:paraId="6B58F69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605.00</w:t>
            </w:r>
          </w:p>
        </w:tc>
        <w:tc>
          <w:tcPr>
            <w:tcW w:w="1087" w:type="dxa"/>
            <w:vAlign w:val="center"/>
          </w:tcPr>
          <w:p w14:paraId="4EF8E84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3DF3DB8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-48.92</w:t>
            </w:r>
          </w:p>
        </w:tc>
        <w:tc>
          <w:tcPr>
            <w:tcW w:w="642" w:type="dxa"/>
            <w:vMerge w:val="restart"/>
            <w:vAlign w:val="center"/>
          </w:tcPr>
          <w:p w14:paraId="4F3903C2"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cs="宋体" w:hint="eastAsia"/>
                <w:kern w:val="0"/>
                <w:szCs w:val="21"/>
              </w:rPr>
              <w:t>注4</w:t>
            </w:r>
          </w:p>
        </w:tc>
      </w:tr>
      <w:tr w:rsidR="00AC7695" w:rsidRPr="00B51B7C" w14:paraId="32650A69" w14:textId="77777777" w:rsidTr="00AC7695">
        <w:trPr>
          <w:jc w:val="center"/>
        </w:trPr>
        <w:tc>
          <w:tcPr>
            <w:tcW w:w="1158" w:type="dxa"/>
            <w:vAlign w:val="bottom"/>
          </w:tcPr>
          <w:p w14:paraId="3DE822F9"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客户十四</w:t>
            </w:r>
          </w:p>
        </w:tc>
        <w:tc>
          <w:tcPr>
            <w:tcW w:w="1169" w:type="dxa"/>
            <w:vAlign w:val="center"/>
          </w:tcPr>
          <w:p w14:paraId="0D927DB5"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196.83</w:t>
            </w:r>
          </w:p>
        </w:tc>
        <w:tc>
          <w:tcPr>
            <w:tcW w:w="1076" w:type="dxa"/>
            <w:vAlign w:val="center"/>
          </w:tcPr>
          <w:p w14:paraId="47ED34A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19.68</w:t>
            </w:r>
          </w:p>
        </w:tc>
        <w:tc>
          <w:tcPr>
            <w:tcW w:w="1169" w:type="dxa"/>
            <w:vAlign w:val="center"/>
          </w:tcPr>
          <w:p w14:paraId="720A222A"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196.83</w:t>
            </w:r>
          </w:p>
        </w:tc>
        <w:tc>
          <w:tcPr>
            <w:tcW w:w="1169" w:type="dxa"/>
            <w:vAlign w:val="center"/>
          </w:tcPr>
          <w:p w14:paraId="09CD9F3F"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196.83</w:t>
            </w:r>
          </w:p>
        </w:tc>
        <w:tc>
          <w:tcPr>
            <w:tcW w:w="1087" w:type="dxa"/>
            <w:vAlign w:val="center"/>
          </w:tcPr>
          <w:p w14:paraId="3062DC46"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5BA93F9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177.15</w:t>
            </w:r>
          </w:p>
        </w:tc>
        <w:tc>
          <w:tcPr>
            <w:tcW w:w="642" w:type="dxa"/>
            <w:vMerge/>
          </w:tcPr>
          <w:p w14:paraId="06F9A614" w14:textId="77777777" w:rsidR="00AC7695" w:rsidRPr="00B51B7C" w:rsidRDefault="00AC7695" w:rsidP="00AC7695">
            <w:pPr>
              <w:spacing w:line="276" w:lineRule="auto"/>
              <w:rPr>
                <w:rFonts w:asciiTheme="minorEastAsia" w:hAnsiTheme="minorEastAsia" w:cs="宋体"/>
                <w:kern w:val="0"/>
                <w:szCs w:val="21"/>
              </w:rPr>
            </w:pPr>
          </w:p>
        </w:tc>
      </w:tr>
      <w:tr w:rsidR="00AC7695" w:rsidRPr="00B51B7C" w14:paraId="14DC3E6F" w14:textId="77777777" w:rsidTr="00AC7695">
        <w:trPr>
          <w:jc w:val="center"/>
        </w:trPr>
        <w:tc>
          <w:tcPr>
            <w:tcW w:w="1158" w:type="dxa"/>
            <w:vAlign w:val="bottom"/>
          </w:tcPr>
          <w:p w14:paraId="694D1A03"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客户十五</w:t>
            </w:r>
          </w:p>
        </w:tc>
        <w:tc>
          <w:tcPr>
            <w:tcW w:w="1169" w:type="dxa"/>
            <w:vAlign w:val="center"/>
          </w:tcPr>
          <w:p w14:paraId="4DEBC3F3"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2,730.21</w:t>
            </w:r>
          </w:p>
        </w:tc>
        <w:tc>
          <w:tcPr>
            <w:tcW w:w="1076" w:type="dxa"/>
            <w:vAlign w:val="center"/>
          </w:tcPr>
          <w:p w14:paraId="68C91977"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136.51</w:t>
            </w:r>
          </w:p>
        </w:tc>
        <w:tc>
          <w:tcPr>
            <w:tcW w:w="1169" w:type="dxa"/>
            <w:vAlign w:val="center"/>
          </w:tcPr>
          <w:p w14:paraId="05E2E26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2,299.38</w:t>
            </w:r>
          </w:p>
        </w:tc>
        <w:tc>
          <w:tcPr>
            <w:tcW w:w="1169" w:type="dxa"/>
            <w:vAlign w:val="center"/>
          </w:tcPr>
          <w:p w14:paraId="6C14E3D5"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2,299.38</w:t>
            </w:r>
          </w:p>
        </w:tc>
        <w:tc>
          <w:tcPr>
            <w:tcW w:w="1087" w:type="dxa"/>
            <w:vAlign w:val="center"/>
          </w:tcPr>
          <w:p w14:paraId="78754EB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475A023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2,162.87</w:t>
            </w:r>
          </w:p>
        </w:tc>
        <w:tc>
          <w:tcPr>
            <w:tcW w:w="642" w:type="dxa"/>
            <w:vMerge/>
          </w:tcPr>
          <w:p w14:paraId="631417A7" w14:textId="77777777" w:rsidR="00AC7695" w:rsidRPr="00B51B7C" w:rsidRDefault="00AC7695" w:rsidP="00AC7695">
            <w:pPr>
              <w:spacing w:line="276" w:lineRule="auto"/>
              <w:rPr>
                <w:rFonts w:asciiTheme="minorEastAsia" w:hAnsiTheme="minorEastAsia" w:cs="宋体"/>
                <w:kern w:val="0"/>
                <w:szCs w:val="21"/>
              </w:rPr>
            </w:pPr>
          </w:p>
        </w:tc>
      </w:tr>
      <w:tr w:rsidR="00AC7695" w:rsidRPr="00B51B7C" w14:paraId="46D0686E" w14:textId="77777777" w:rsidTr="00AC7695">
        <w:trPr>
          <w:jc w:val="center"/>
        </w:trPr>
        <w:tc>
          <w:tcPr>
            <w:tcW w:w="1158" w:type="dxa"/>
            <w:vAlign w:val="bottom"/>
          </w:tcPr>
          <w:p w14:paraId="6053D6DA" w14:textId="77777777" w:rsidR="00AC7695" w:rsidRPr="00B51B7C" w:rsidRDefault="00AC7695" w:rsidP="00AC7695">
            <w:pPr>
              <w:spacing w:line="276" w:lineRule="auto"/>
              <w:jc w:val="center"/>
              <w:rPr>
                <w:rFonts w:asciiTheme="minorEastAsia" w:hAnsiTheme="minorEastAsia" w:cs="宋体"/>
                <w:kern w:val="0"/>
                <w:szCs w:val="21"/>
              </w:rPr>
            </w:pPr>
            <w:r w:rsidRPr="00B51B7C">
              <w:rPr>
                <w:rFonts w:asciiTheme="minorEastAsia" w:hAnsiTheme="minorEastAsia" w:hint="eastAsia"/>
                <w:color w:val="000000"/>
                <w:sz w:val="22"/>
              </w:rPr>
              <w:t>客户十六</w:t>
            </w:r>
          </w:p>
        </w:tc>
        <w:tc>
          <w:tcPr>
            <w:tcW w:w="1169" w:type="dxa"/>
            <w:vAlign w:val="center"/>
          </w:tcPr>
          <w:p w14:paraId="0B6661AF"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1,716.24</w:t>
            </w:r>
          </w:p>
        </w:tc>
        <w:tc>
          <w:tcPr>
            <w:tcW w:w="1076" w:type="dxa"/>
            <w:vAlign w:val="center"/>
          </w:tcPr>
          <w:p w14:paraId="71BE2D0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85.81</w:t>
            </w:r>
          </w:p>
        </w:tc>
        <w:tc>
          <w:tcPr>
            <w:tcW w:w="1169" w:type="dxa"/>
            <w:vAlign w:val="center"/>
          </w:tcPr>
          <w:p w14:paraId="27D30139"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1,527.43</w:t>
            </w:r>
          </w:p>
        </w:tc>
        <w:tc>
          <w:tcPr>
            <w:tcW w:w="1169" w:type="dxa"/>
            <w:vAlign w:val="center"/>
          </w:tcPr>
          <w:p w14:paraId="64E2B5DB"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1,527.43</w:t>
            </w:r>
          </w:p>
        </w:tc>
        <w:tc>
          <w:tcPr>
            <w:tcW w:w="1087" w:type="dxa"/>
            <w:vAlign w:val="center"/>
          </w:tcPr>
          <w:p w14:paraId="68677DB4"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100.00%</w:t>
            </w:r>
          </w:p>
        </w:tc>
        <w:tc>
          <w:tcPr>
            <w:tcW w:w="1169" w:type="dxa"/>
            <w:vAlign w:val="center"/>
          </w:tcPr>
          <w:p w14:paraId="654E58DA" w14:textId="77777777" w:rsidR="00AC7695" w:rsidRPr="00B51B7C" w:rsidRDefault="00AC7695" w:rsidP="00AC7695">
            <w:pPr>
              <w:spacing w:line="276" w:lineRule="auto"/>
              <w:jc w:val="right"/>
              <w:rPr>
                <w:rFonts w:asciiTheme="minorEastAsia" w:hAnsiTheme="minorEastAsia" w:cs="宋体"/>
                <w:kern w:val="0"/>
                <w:szCs w:val="21"/>
              </w:rPr>
            </w:pPr>
            <w:r w:rsidRPr="00B51B7C">
              <w:rPr>
                <w:rFonts w:asciiTheme="minorEastAsia" w:hAnsiTheme="minorEastAsia" w:hint="eastAsia"/>
                <w:szCs w:val="21"/>
              </w:rPr>
              <w:t>1,441.62</w:t>
            </w:r>
          </w:p>
        </w:tc>
        <w:tc>
          <w:tcPr>
            <w:tcW w:w="642" w:type="dxa"/>
            <w:vMerge/>
          </w:tcPr>
          <w:p w14:paraId="09B383B5" w14:textId="77777777" w:rsidR="00AC7695" w:rsidRPr="00B51B7C" w:rsidRDefault="00AC7695" w:rsidP="00AC7695">
            <w:pPr>
              <w:spacing w:line="276" w:lineRule="auto"/>
              <w:rPr>
                <w:rFonts w:asciiTheme="minorEastAsia" w:hAnsiTheme="minorEastAsia" w:cs="宋体"/>
                <w:kern w:val="0"/>
                <w:szCs w:val="21"/>
              </w:rPr>
            </w:pPr>
          </w:p>
        </w:tc>
      </w:tr>
      <w:tr w:rsidR="00AC7695" w:rsidRPr="00B51B7C" w14:paraId="04231014" w14:textId="77777777" w:rsidTr="00AC7695">
        <w:trPr>
          <w:jc w:val="center"/>
        </w:trPr>
        <w:tc>
          <w:tcPr>
            <w:tcW w:w="1158" w:type="dxa"/>
          </w:tcPr>
          <w:p w14:paraId="44432E36" w14:textId="77777777" w:rsidR="00AC7695" w:rsidRPr="00B51B7C" w:rsidRDefault="00AC7695" w:rsidP="00AC7695">
            <w:pPr>
              <w:spacing w:line="276" w:lineRule="auto"/>
              <w:jc w:val="center"/>
              <w:rPr>
                <w:rFonts w:asciiTheme="minorEastAsia" w:hAnsiTheme="minorEastAsia" w:cs="宋体"/>
                <w:b/>
                <w:bCs/>
                <w:kern w:val="0"/>
                <w:szCs w:val="21"/>
              </w:rPr>
            </w:pPr>
            <w:r w:rsidRPr="00B51B7C">
              <w:rPr>
                <w:rFonts w:asciiTheme="minorEastAsia" w:hAnsiTheme="minorEastAsia" w:hint="eastAsia"/>
                <w:b/>
                <w:bCs/>
                <w:szCs w:val="21"/>
              </w:rPr>
              <w:t>合计</w:t>
            </w:r>
          </w:p>
        </w:tc>
        <w:tc>
          <w:tcPr>
            <w:tcW w:w="1169" w:type="dxa"/>
          </w:tcPr>
          <w:p w14:paraId="605096D2" w14:textId="77777777" w:rsidR="00AC7695" w:rsidRPr="00B51B7C" w:rsidRDefault="00AC7695" w:rsidP="00AC7695">
            <w:pPr>
              <w:spacing w:line="276" w:lineRule="auto"/>
              <w:jc w:val="center"/>
              <w:rPr>
                <w:rFonts w:asciiTheme="minorEastAsia" w:hAnsiTheme="minorEastAsia" w:cs="宋体"/>
                <w:b/>
                <w:bCs/>
                <w:kern w:val="0"/>
                <w:szCs w:val="21"/>
              </w:rPr>
            </w:pPr>
            <w:r w:rsidRPr="00B51B7C">
              <w:rPr>
                <w:rFonts w:asciiTheme="minorEastAsia" w:hAnsiTheme="minorEastAsia" w:hint="eastAsia"/>
                <w:b/>
                <w:bCs/>
                <w:szCs w:val="21"/>
              </w:rPr>
              <w:t>32,804.44</w:t>
            </w:r>
          </w:p>
        </w:tc>
        <w:tc>
          <w:tcPr>
            <w:tcW w:w="1076" w:type="dxa"/>
          </w:tcPr>
          <w:p w14:paraId="0EB6E1E4" w14:textId="77777777" w:rsidR="00AC7695" w:rsidRPr="00B51B7C" w:rsidRDefault="00AC7695" w:rsidP="00AC7695">
            <w:pPr>
              <w:spacing w:line="276" w:lineRule="auto"/>
              <w:jc w:val="center"/>
              <w:rPr>
                <w:rFonts w:asciiTheme="minorEastAsia" w:hAnsiTheme="minorEastAsia" w:cs="宋体"/>
                <w:b/>
                <w:bCs/>
                <w:kern w:val="0"/>
                <w:szCs w:val="21"/>
              </w:rPr>
            </w:pPr>
            <w:r w:rsidRPr="00B51B7C">
              <w:rPr>
                <w:rFonts w:asciiTheme="minorEastAsia" w:hAnsiTheme="minorEastAsia" w:hint="eastAsia"/>
                <w:b/>
                <w:bCs/>
                <w:szCs w:val="21"/>
              </w:rPr>
              <w:t>3,692.62</w:t>
            </w:r>
          </w:p>
        </w:tc>
        <w:tc>
          <w:tcPr>
            <w:tcW w:w="1169" w:type="dxa"/>
          </w:tcPr>
          <w:p w14:paraId="19049503" w14:textId="77777777" w:rsidR="00AC7695" w:rsidRPr="00B51B7C" w:rsidRDefault="00AC7695" w:rsidP="00AC7695">
            <w:pPr>
              <w:spacing w:line="276" w:lineRule="auto"/>
              <w:jc w:val="center"/>
              <w:rPr>
                <w:rFonts w:asciiTheme="minorEastAsia" w:hAnsiTheme="minorEastAsia" w:cs="宋体"/>
                <w:b/>
                <w:bCs/>
                <w:kern w:val="0"/>
                <w:szCs w:val="21"/>
              </w:rPr>
            </w:pPr>
            <w:r w:rsidRPr="00B51B7C">
              <w:rPr>
                <w:rFonts w:asciiTheme="minorEastAsia" w:hAnsiTheme="minorEastAsia" w:hint="eastAsia"/>
                <w:b/>
                <w:bCs/>
                <w:szCs w:val="21"/>
              </w:rPr>
              <w:t>31,622.57</w:t>
            </w:r>
          </w:p>
        </w:tc>
        <w:tc>
          <w:tcPr>
            <w:tcW w:w="1169" w:type="dxa"/>
          </w:tcPr>
          <w:p w14:paraId="5FD55BDF" w14:textId="77777777" w:rsidR="00AC7695" w:rsidRPr="00B51B7C" w:rsidRDefault="00AC7695" w:rsidP="00AC7695">
            <w:pPr>
              <w:spacing w:line="276" w:lineRule="auto"/>
              <w:jc w:val="center"/>
              <w:rPr>
                <w:rFonts w:asciiTheme="minorEastAsia" w:hAnsiTheme="minorEastAsia" w:cs="宋体"/>
                <w:b/>
                <w:bCs/>
                <w:kern w:val="0"/>
                <w:szCs w:val="21"/>
              </w:rPr>
            </w:pPr>
            <w:r w:rsidRPr="00B51B7C">
              <w:rPr>
                <w:rFonts w:asciiTheme="minorEastAsia" w:hAnsiTheme="minorEastAsia" w:hint="eastAsia"/>
                <w:b/>
                <w:bCs/>
                <w:szCs w:val="21"/>
              </w:rPr>
              <w:t>30,474.20</w:t>
            </w:r>
          </w:p>
        </w:tc>
        <w:tc>
          <w:tcPr>
            <w:tcW w:w="1087" w:type="dxa"/>
          </w:tcPr>
          <w:p w14:paraId="1732544E" w14:textId="77777777" w:rsidR="00AC7695" w:rsidRPr="00B51B7C" w:rsidRDefault="00AC7695" w:rsidP="00AC7695">
            <w:pPr>
              <w:spacing w:line="276" w:lineRule="auto"/>
              <w:jc w:val="center"/>
              <w:rPr>
                <w:rFonts w:asciiTheme="minorEastAsia" w:hAnsiTheme="minorEastAsia" w:cs="宋体"/>
                <w:b/>
                <w:bCs/>
                <w:kern w:val="0"/>
                <w:szCs w:val="21"/>
              </w:rPr>
            </w:pPr>
            <w:r w:rsidRPr="00B51B7C">
              <w:rPr>
                <w:rFonts w:asciiTheme="minorEastAsia" w:hAnsiTheme="minorEastAsia" w:hint="eastAsia"/>
                <w:b/>
                <w:bCs/>
                <w:szCs w:val="21"/>
              </w:rPr>
              <w:t>96.37%</w:t>
            </w:r>
          </w:p>
        </w:tc>
        <w:tc>
          <w:tcPr>
            <w:tcW w:w="1169" w:type="dxa"/>
          </w:tcPr>
          <w:p w14:paraId="00D8E318" w14:textId="77777777" w:rsidR="00AC7695" w:rsidRPr="00B51B7C" w:rsidRDefault="00AC7695" w:rsidP="00AC7695">
            <w:pPr>
              <w:spacing w:line="276" w:lineRule="auto"/>
              <w:jc w:val="center"/>
              <w:rPr>
                <w:rFonts w:asciiTheme="minorEastAsia" w:hAnsiTheme="minorEastAsia" w:cs="宋体"/>
                <w:b/>
                <w:bCs/>
                <w:kern w:val="0"/>
                <w:szCs w:val="21"/>
              </w:rPr>
            </w:pPr>
            <w:r w:rsidRPr="00B51B7C">
              <w:rPr>
                <w:rFonts w:asciiTheme="minorEastAsia" w:hAnsiTheme="minorEastAsia" w:hint="eastAsia"/>
                <w:b/>
                <w:bCs/>
                <w:szCs w:val="21"/>
              </w:rPr>
              <w:t>26,781.58</w:t>
            </w:r>
          </w:p>
        </w:tc>
        <w:tc>
          <w:tcPr>
            <w:tcW w:w="642" w:type="dxa"/>
          </w:tcPr>
          <w:p w14:paraId="1B8CD062" w14:textId="77777777" w:rsidR="00AC7695" w:rsidRPr="00B51B7C" w:rsidRDefault="00AC7695" w:rsidP="00AC7695">
            <w:pPr>
              <w:spacing w:line="276" w:lineRule="auto"/>
              <w:jc w:val="center"/>
              <w:rPr>
                <w:rFonts w:asciiTheme="minorEastAsia" w:hAnsiTheme="minorEastAsia" w:cs="宋体"/>
                <w:b/>
                <w:bCs/>
                <w:kern w:val="0"/>
                <w:szCs w:val="21"/>
              </w:rPr>
            </w:pPr>
          </w:p>
        </w:tc>
      </w:tr>
    </w:tbl>
    <w:p w14:paraId="478010B0" w14:textId="77777777" w:rsidR="0017470A" w:rsidRPr="00B51B7C" w:rsidRDefault="0017470A" w:rsidP="0017470A">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注1：新增对应收电费国家补贴款计提减值，原因如下：</w:t>
      </w:r>
    </w:p>
    <w:p w14:paraId="170CF8C5" w14:textId="77777777" w:rsidR="0017470A" w:rsidRPr="00B51B7C" w:rsidRDefault="0017470A" w:rsidP="0017470A">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公司于2016年投资建设铁岭中晖新能源白旗寨20MW光伏电站项目（以下简称“铁岭中晖项目”），实际总装机容量20.0692MW（组件容量），于2016年12月15日并网发电。</w:t>
      </w:r>
    </w:p>
    <w:p w14:paraId="67B06652" w14:textId="77777777" w:rsidR="0017470A" w:rsidRPr="00B51B7C" w:rsidRDefault="0017470A" w:rsidP="0017470A">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2</w:t>
      </w:r>
      <w:r w:rsidRPr="00B51B7C">
        <w:rPr>
          <w:rFonts w:asciiTheme="minorEastAsia" w:hAnsiTheme="minorEastAsia" w:cs="宋体"/>
          <w:kern w:val="0"/>
          <w:sz w:val="24"/>
        </w:rPr>
        <w:t>022</w:t>
      </w:r>
      <w:r w:rsidRPr="00B51B7C">
        <w:rPr>
          <w:rFonts w:asciiTheme="minorEastAsia" w:hAnsiTheme="minorEastAsia" w:cs="宋体" w:hint="eastAsia"/>
          <w:kern w:val="0"/>
          <w:sz w:val="24"/>
        </w:rPr>
        <w:t>年，根据三部委联合下发的补贴自查工作通知，公司经自查后发现铁岭中</w:t>
      </w:r>
      <w:proofErr w:type="gramStart"/>
      <w:r w:rsidRPr="00B51B7C">
        <w:rPr>
          <w:rFonts w:asciiTheme="minorEastAsia" w:hAnsiTheme="minorEastAsia" w:cs="宋体" w:hint="eastAsia"/>
          <w:kern w:val="0"/>
          <w:sz w:val="24"/>
        </w:rPr>
        <w:t>晖项目</w:t>
      </w:r>
      <w:proofErr w:type="gramEnd"/>
      <w:r w:rsidRPr="00B51B7C">
        <w:rPr>
          <w:rFonts w:asciiTheme="minorEastAsia" w:hAnsiTheme="minorEastAsia" w:cs="宋体" w:hint="eastAsia"/>
          <w:kern w:val="0"/>
          <w:sz w:val="24"/>
        </w:rPr>
        <w:t>存在“批小建大”问题，即该项目备案容量 20MW，纳入规模容量20MW，实际并网组件容量20.0692MW，逆变器容量20.4MW。因此，铁岭中</w:t>
      </w:r>
      <w:proofErr w:type="gramStart"/>
      <w:r w:rsidRPr="00B51B7C">
        <w:rPr>
          <w:rFonts w:asciiTheme="minorEastAsia" w:hAnsiTheme="minorEastAsia" w:cs="宋体" w:hint="eastAsia"/>
          <w:kern w:val="0"/>
          <w:sz w:val="24"/>
        </w:rPr>
        <w:t>晖项目</w:t>
      </w:r>
      <w:proofErr w:type="gramEnd"/>
      <w:r w:rsidRPr="00B51B7C">
        <w:rPr>
          <w:rFonts w:asciiTheme="minorEastAsia" w:hAnsiTheme="minorEastAsia" w:cs="宋体" w:hint="eastAsia"/>
          <w:kern w:val="0"/>
          <w:sz w:val="24"/>
        </w:rPr>
        <w:t>未被纳入2022年公示的合格项目清单（2022年10月28日《关于公示第一批可再生能源发电补贴核查确认的合规项目清单的公告》，合</w:t>
      </w:r>
      <w:proofErr w:type="gramStart"/>
      <w:r w:rsidRPr="00B51B7C">
        <w:rPr>
          <w:rFonts w:asciiTheme="minorEastAsia" w:hAnsiTheme="minorEastAsia" w:cs="宋体" w:hint="eastAsia"/>
          <w:kern w:val="0"/>
          <w:sz w:val="24"/>
        </w:rPr>
        <w:t>规</w:t>
      </w:r>
      <w:proofErr w:type="gramEnd"/>
      <w:r w:rsidRPr="00B51B7C">
        <w:rPr>
          <w:rFonts w:asciiTheme="minorEastAsia" w:hAnsiTheme="minorEastAsia" w:cs="宋体" w:hint="eastAsia"/>
          <w:kern w:val="0"/>
          <w:sz w:val="24"/>
        </w:rPr>
        <w:t>率约1</w:t>
      </w:r>
      <w:r w:rsidRPr="00B51B7C">
        <w:rPr>
          <w:rFonts w:asciiTheme="minorEastAsia" w:hAnsiTheme="minorEastAsia" w:cs="宋体"/>
          <w:kern w:val="0"/>
          <w:sz w:val="24"/>
        </w:rPr>
        <w:t>2.07%</w:t>
      </w:r>
      <w:r w:rsidRPr="00B51B7C">
        <w:rPr>
          <w:rFonts w:asciiTheme="minorEastAsia" w:hAnsiTheme="minorEastAsia" w:cs="宋体" w:hint="eastAsia"/>
          <w:kern w:val="0"/>
          <w:sz w:val="24"/>
        </w:rPr>
        <w:t>），相应的补贴款被停止拨付。</w:t>
      </w:r>
    </w:p>
    <w:p w14:paraId="75523FF0" w14:textId="77777777" w:rsidR="0017470A" w:rsidRPr="00B51B7C" w:rsidRDefault="0017470A" w:rsidP="0017470A">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2</w:t>
      </w:r>
      <w:r w:rsidRPr="00B51B7C">
        <w:rPr>
          <w:rFonts w:asciiTheme="minorEastAsia" w:hAnsiTheme="minorEastAsia" w:cs="宋体"/>
          <w:kern w:val="0"/>
          <w:sz w:val="24"/>
        </w:rPr>
        <w:t>023</w:t>
      </w:r>
      <w:r w:rsidRPr="00B51B7C">
        <w:rPr>
          <w:rFonts w:asciiTheme="minorEastAsia" w:hAnsiTheme="minorEastAsia" w:cs="宋体" w:hint="eastAsia"/>
          <w:kern w:val="0"/>
          <w:sz w:val="24"/>
        </w:rPr>
        <w:t>年公司根据自查工作进行整改和规范，公司原管理层认为补贴款仍存在收回的可能性主要基于：1）项目自查存在的“批小建大”实际上不是严重的</w:t>
      </w:r>
      <w:r w:rsidRPr="00B51B7C">
        <w:rPr>
          <w:rFonts w:asciiTheme="minorEastAsia" w:hAnsiTheme="minorEastAsia" w:cs="宋体" w:hint="eastAsia"/>
          <w:kern w:val="0"/>
          <w:sz w:val="24"/>
        </w:rPr>
        <w:lastRenderedPageBreak/>
        <w:t>违规问题，光</w:t>
      </w:r>
      <w:proofErr w:type="gramStart"/>
      <w:r w:rsidRPr="00B51B7C">
        <w:rPr>
          <w:rFonts w:asciiTheme="minorEastAsia" w:hAnsiTheme="minorEastAsia" w:cs="宋体" w:hint="eastAsia"/>
          <w:kern w:val="0"/>
          <w:sz w:val="24"/>
        </w:rPr>
        <w:t>伏项目</w:t>
      </w:r>
      <w:proofErr w:type="gramEnd"/>
      <w:r w:rsidRPr="00B51B7C">
        <w:rPr>
          <w:rFonts w:asciiTheme="minorEastAsia" w:hAnsiTheme="minorEastAsia" w:cs="宋体" w:hint="eastAsia"/>
          <w:kern w:val="0"/>
          <w:sz w:val="24"/>
        </w:rPr>
        <w:t>实际搭建中无法做到实际组件容量与备案容量完全精准一致，存在小幅偏差属于正常现象；2）暂无官方通知表明除2022年10月28日公示的第一批合</w:t>
      </w:r>
      <w:proofErr w:type="gramStart"/>
      <w:r w:rsidRPr="00B51B7C">
        <w:rPr>
          <w:rFonts w:asciiTheme="minorEastAsia" w:hAnsiTheme="minorEastAsia" w:cs="宋体" w:hint="eastAsia"/>
          <w:kern w:val="0"/>
          <w:sz w:val="24"/>
        </w:rPr>
        <w:t>规</w:t>
      </w:r>
      <w:proofErr w:type="gramEnd"/>
      <w:r w:rsidRPr="00B51B7C">
        <w:rPr>
          <w:rFonts w:asciiTheme="minorEastAsia" w:hAnsiTheme="minorEastAsia" w:cs="宋体" w:hint="eastAsia"/>
          <w:kern w:val="0"/>
          <w:sz w:val="24"/>
        </w:rPr>
        <w:t>项目清单外，不会再有第二批合</w:t>
      </w:r>
      <w:proofErr w:type="gramStart"/>
      <w:r w:rsidRPr="00B51B7C">
        <w:rPr>
          <w:rFonts w:asciiTheme="minorEastAsia" w:hAnsiTheme="minorEastAsia" w:cs="宋体" w:hint="eastAsia"/>
          <w:kern w:val="0"/>
          <w:sz w:val="24"/>
        </w:rPr>
        <w:t>规</w:t>
      </w:r>
      <w:proofErr w:type="gramEnd"/>
      <w:r w:rsidRPr="00B51B7C">
        <w:rPr>
          <w:rFonts w:asciiTheme="minorEastAsia" w:hAnsiTheme="minorEastAsia" w:cs="宋体" w:hint="eastAsia"/>
          <w:kern w:val="0"/>
          <w:sz w:val="24"/>
        </w:rPr>
        <w:t>项目清单公示，且当时市场环境下，大多数企业普遍对</w:t>
      </w:r>
      <w:proofErr w:type="gramStart"/>
      <w:r w:rsidRPr="00B51B7C">
        <w:rPr>
          <w:rFonts w:asciiTheme="minorEastAsia" w:hAnsiTheme="minorEastAsia" w:cs="宋体" w:hint="eastAsia"/>
          <w:kern w:val="0"/>
          <w:sz w:val="24"/>
        </w:rPr>
        <w:t>国补持</w:t>
      </w:r>
      <w:proofErr w:type="gramEnd"/>
      <w:r w:rsidRPr="00B51B7C">
        <w:rPr>
          <w:rFonts w:asciiTheme="minorEastAsia" w:hAnsiTheme="minorEastAsia" w:cs="宋体" w:hint="eastAsia"/>
          <w:kern w:val="0"/>
          <w:sz w:val="24"/>
        </w:rPr>
        <w:t>乐观态度；3）被停止拨付的时间仅1年左右。</w:t>
      </w:r>
    </w:p>
    <w:p w14:paraId="6F6BC675" w14:textId="77777777" w:rsidR="0017470A" w:rsidRPr="00B51B7C" w:rsidRDefault="0017470A" w:rsidP="0017470A">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2</w:t>
      </w:r>
      <w:r w:rsidRPr="00B51B7C">
        <w:rPr>
          <w:rFonts w:asciiTheme="minorEastAsia" w:hAnsiTheme="minorEastAsia" w:cs="宋体"/>
          <w:kern w:val="0"/>
          <w:sz w:val="24"/>
        </w:rPr>
        <w:t>024</w:t>
      </w:r>
      <w:r w:rsidRPr="00B51B7C">
        <w:rPr>
          <w:rFonts w:asciiTheme="minorEastAsia" w:hAnsiTheme="minorEastAsia" w:cs="宋体" w:hint="eastAsia"/>
          <w:kern w:val="0"/>
          <w:sz w:val="24"/>
        </w:rPr>
        <w:t>年，为防范相关风险，体现更为谨慎的财务信息，公司管理层审慎分析相关应收款，综合考虑到1）已持续2年多未</w:t>
      </w:r>
      <w:proofErr w:type="gramStart"/>
      <w:r w:rsidRPr="00B51B7C">
        <w:rPr>
          <w:rFonts w:asciiTheme="minorEastAsia" w:hAnsiTheme="minorEastAsia" w:cs="宋体" w:hint="eastAsia"/>
          <w:kern w:val="0"/>
          <w:sz w:val="24"/>
        </w:rPr>
        <w:t>收到国</w:t>
      </w:r>
      <w:proofErr w:type="gramEnd"/>
      <w:r w:rsidRPr="00B51B7C">
        <w:rPr>
          <w:rFonts w:asciiTheme="minorEastAsia" w:hAnsiTheme="minorEastAsia" w:cs="宋体" w:hint="eastAsia"/>
          <w:kern w:val="0"/>
          <w:sz w:val="24"/>
        </w:rPr>
        <w:t>补回款，且多次与主管部门沟通无果；2）目前光</w:t>
      </w:r>
      <w:proofErr w:type="gramStart"/>
      <w:r w:rsidRPr="00B51B7C">
        <w:rPr>
          <w:rFonts w:asciiTheme="minorEastAsia" w:hAnsiTheme="minorEastAsia" w:cs="宋体" w:hint="eastAsia"/>
          <w:kern w:val="0"/>
          <w:sz w:val="24"/>
        </w:rPr>
        <w:t>伏行业</w:t>
      </w:r>
      <w:proofErr w:type="gramEnd"/>
      <w:r w:rsidRPr="00B51B7C">
        <w:rPr>
          <w:rFonts w:asciiTheme="minorEastAsia" w:hAnsiTheme="minorEastAsia" w:cs="宋体" w:hint="eastAsia"/>
          <w:kern w:val="0"/>
          <w:sz w:val="24"/>
        </w:rPr>
        <w:t>市场整体的变化和供求关系、各地区财政实力、国家对光</w:t>
      </w:r>
      <w:proofErr w:type="gramStart"/>
      <w:r w:rsidRPr="00B51B7C">
        <w:rPr>
          <w:rFonts w:asciiTheme="minorEastAsia" w:hAnsiTheme="minorEastAsia" w:cs="宋体" w:hint="eastAsia"/>
          <w:kern w:val="0"/>
          <w:sz w:val="24"/>
        </w:rPr>
        <w:t>伏</w:t>
      </w:r>
      <w:proofErr w:type="gramEnd"/>
      <w:r w:rsidRPr="00B51B7C">
        <w:rPr>
          <w:rFonts w:asciiTheme="minorEastAsia" w:hAnsiTheme="minorEastAsia" w:cs="宋体" w:hint="eastAsia"/>
          <w:kern w:val="0"/>
          <w:sz w:val="24"/>
        </w:rPr>
        <w:t>行业的扶持力度等因素；3）2022年新能源项目第一轮合</w:t>
      </w:r>
      <w:proofErr w:type="gramStart"/>
      <w:r w:rsidRPr="00B51B7C">
        <w:rPr>
          <w:rFonts w:asciiTheme="minorEastAsia" w:hAnsiTheme="minorEastAsia" w:cs="宋体" w:hint="eastAsia"/>
          <w:kern w:val="0"/>
          <w:sz w:val="24"/>
        </w:rPr>
        <w:t>规</w:t>
      </w:r>
      <w:proofErr w:type="gramEnd"/>
      <w:r w:rsidRPr="00B51B7C">
        <w:rPr>
          <w:rFonts w:asciiTheme="minorEastAsia" w:hAnsiTheme="minorEastAsia" w:cs="宋体" w:hint="eastAsia"/>
          <w:kern w:val="0"/>
          <w:sz w:val="24"/>
        </w:rPr>
        <w:t>名单通过率较低，计提了相应的减值。</w:t>
      </w:r>
    </w:p>
    <w:p w14:paraId="1EBE0649" w14:textId="2CB69164" w:rsidR="00563139" w:rsidRPr="00B51B7C" w:rsidRDefault="0017470A" w:rsidP="00C71F9C">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注2：</w:t>
      </w:r>
      <w:r w:rsidR="00563139" w:rsidRPr="00B51B7C">
        <w:rPr>
          <w:rFonts w:asciiTheme="minorEastAsia" w:hAnsiTheme="minorEastAsia" w:cs="宋体" w:hint="eastAsia"/>
          <w:kern w:val="0"/>
          <w:sz w:val="24"/>
        </w:rPr>
        <w:t>公司与客户</w:t>
      </w:r>
      <w:r w:rsidR="00821E3E" w:rsidRPr="00B51B7C">
        <w:rPr>
          <w:rFonts w:asciiTheme="minorEastAsia" w:hAnsiTheme="minorEastAsia" w:cs="宋体" w:hint="eastAsia"/>
          <w:kern w:val="0"/>
          <w:sz w:val="24"/>
        </w:rPr>
        <w:t>（指上表中客户四-客户十</w:t>
      </w:r>
      <w:r w:rsidR="00D00DDE" w:rsidRPr="00B51B7C">
        <w:rPr>
          <w:rFonts w:asciiTheme="minorEastAsia" w:hAnsiTheme="minorEastAsia" w:cs="宋体" w:hint="eastAsia"/>
          <w:kern w:val="0"/>
          <w:sz w:val="24"/>
        </w:rPr>
        <w:t>，属于同</w:t>
      </w:r>
      <w:proofErr w:type="gramStart"/>
      <w:r w:rsidR="00D00DDE" w:rsidRPr="00B51B7C">
        <w:rPr>
          <w:rFonts w:asciiTheme="minorEastAsia" w:hAnsiTheme="minorEastAsia" w:cs="宋体" w:hint="eastAsia"/>
          <w:kern w:val="0"/>
          <w:sz w:val="24"/>
        </w:rPr>
        <w:t>一控制</w:t>
      </w:r>
      <w:proofErr w:type="gramEnd"/>
      <w:r w:rsidR="00D00DDE" w:rsidRPr="00B51B7C">
        <w:rPr>
          <w:rFonts w:asciiTheme="minorEastAsia" w:hAnsiTheme="minorEastAsia" w:cs="宋体" w:hint="eastAsia"/>
          <w:kern w:val="0"/>
          <w:sz w:val="24"/>
        </w:rPr>
        <w:t>下</w:t>
      </w:r>
      <w:r w:rsidR="00821E3E" w:rsidRPr="00B51B7C">
        <w:rPr>
          <w:rFonts w:asciiTheme="minorEastAsia" w:hAnsiTheme="minorEastAsia" w:cs="宋体" w:hint="eastAsia"/>
          <w:kern w:val="0"/>
          <w:sz w:val="24"/>
        </w:rPr>
        <w:t>）</w:t>
      </w:r>
      <w:r w:rsidR="00563139" w:rsidRPr="00B51B7C">
        <w:rPr>
          <w:rFonts w:asciiTheme="minorEastAsia" w:hAnsiTheme="minorEastAsia" w:cs="宋体" w:hint="eastAsia"/>
          <w:kern w:val="0"/>
          <w:sz w:val="24"/>
        </w:rPr>
        <w:t>存在多项业务合作，双方存在未结清款项的主要原因：1</w:t>
      </w:r>
      <w:r w:rsidR="00821E3E" w:rsidRPr="00B51B7C">
        <w:rPr>
          <w:rFonts w:asciiTheme="minorEastAsia" w:hAnsiTheme="minorEastAsia" w:cs="宋体" w:hint="eastAsia"/>
          <w:kern w:val="0"/>
          <w:sz w:val="24"/>
        </w:rPr>
        <w:t>）根据合同约定，客户</w:t>
      </w:r>
      <w:proofErr w:type="gramStart"/>
      <w:r w:rsidR="00563139" w:rsidRPr="00B51B7C">
        <w:rPr>
          <w:rFonts w:asciiTheme="minorEastAsia" w:hAnsiTheme="minorEastAsia" w:cs="宋体" w:hint="eastAsia"/>
          <w:kern w:val="0"/>
          <w:sz w:val="24"/>
        </w:rPr>
        <w:t>收到国</w:t>
      </w:r>
      <w:proofErr w:type="gramEnd"/>
      <w:r w:rsidR="00563139" w:rsidRPr="00B51B7C">
        <w:rPr>
          <w:rFonts w:asciiTheme="minorEastAsia" w:hAnsiTheme="minorEastAsia" w:cs="宋体" w:hint="eastAsia"/>
          <w:kern w:val="0"/>
          <w:sz w:val="24"/>
        </w:rPr>
        <w:t>补款后支付公司相应的EPC</w:t>
      </w:r>
      <w:r w:rsidR="00821E3E" w:rsidRPr="00B51B7C">
        <w:rPr>
          <w:rFonts w:asciiTheme="minorEastAsia" w:hAnsiTheme="minorEastAsia" w:cs="宋体" w:hint="eastAsia"/>
          <w:kern w:val="0"/>
          <w:sz w:val="24"/>
        </w:rPr>
        <w:t>工程款，客户</w:t>
      </w:r>
      <w:r w:rsidR="00563139" w:rsidRPr="00B51B7C">
        <w:rPr>
          <w:rFonts w:asciiTheme="minorEastAsia" w:hAnsiTheme="minorEastAsia" w:cs="宋体" w:hint="eastAsia"/>
          <w:kern w:val="0"/>
          <w:sz w:val="24"/>
        </w:rPr>
        <w:t>实际未</w:t>
      </w:r>
      <w:proofErr w:type="gramStart"/>
      <w:r w:rsidR="00563139" w:rsidRPr="00B51B7C">
        <w:rPr>
          <w:rFonts w:asciiTheme="minorEastAsia" w:hAnsiTheme="minorEastAsia" w:cs="宋体" w:hint="eastAsia"/>
          <w:kern w:val="0"/>
          <w:sz w:val="24"/>
        </w:rPr>
        <w:t>收到国</w:t>
      </w:r>
      <w:proofErr w:type="gramEnd"/>
      <w:r w:rsidR="00563139" w:rsidRPr="00B51B7C">
        <w:rPr>
          <w:rFonts w:asciiTheme="minorEastAsia" w:hAnsiTheme="minorEastAsia" w:cs="宋体" w:hint="eastAsia"/>
          <w:kern w:val="0"/>
          <w:sz w:val="24"/>
        </w:rPr>
        <w:t>补款；2</w:t>
      </w:r>
      <w:r w:rsidR="00821E3E" w:rsidRPr="00B51B7C">
        <w:rPr>
          <w:rFonts w:asciiTheme="minorEastAsia" w:hAnsiTheme="minorEastAsia" w:cs="宋体" w:hint="eastAsia"/>
          <w:kern w:val="0"/>
          <w:sz w:val="24"/>
        </w:rPr>
        <w:t>）因质量问题、房产证未办理，客户</w:t>
      </w:r>
      <w:r w:rsidR="00563139" w:rsidRPr="00B51B7C">
        <w:rPr>
          <w:rFonts w:asciiTheme="minorEastAsia" w:hAnsiTheme="minorEastAsia" w:cs="宋体" w:hint="eastAsia"/>
          <w:kern w:val="0"/>
          <w:sz w:val="24"/>
        </w:rPr>
        <w:t>从应付公司的工程款中扣除相应金额。</w:t>
      </w:r>
    </w:p>
    <w:p w14:paraId="7B03DECE" w14:textId="77777777" w:rsidR="00563139" w:rsidRPr="00B51B7C" w:rsidRDefault="00563139" w:rsidP="00C71F9C">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2023年公司原管理层对</w:t>
      </w:r>
      <w:proofErr w:type="gramStart"/>
      <w:r w:rsidRPr="00B51B7C">
        <w:rPr>
          <w:rFonts w:asciiTheme="minorEastAsia" w:hAnsiTheme="minorEastAsia" w:cs="宋体" w:hint="eastAsia"/>
          <w:kern w:val="0"/>
          <w:sz w:val="24"/>
        </w:rPr>
        <w:t>与国补挂钩</w:t>
      </w:r>
      <w:proofErr w:type="gramEnd"/>
      <w:r w:rsidRPr="00B51B7C">
        <w:rPr>
          <w:rFonts w:asciiTheme="minorEastAsia" w:hAnsiTheme="minorEastAsia" w:cs="宋体" w:hint="eastAsia"/>
          <w:kern w:val="0"/>
          <w:sz w:val="24"/>
        </w:rPr>
        <w:t>的EPC项目计提较少减值，主要基于：1）项目问题系“批小建大”、“并网容量不足”、“以少代全”等不属于严重的违规问题；2）客户反馈</w:t>
      </w:r>
      <w:proofErr w:type="gramStart"/>
      <w:r w:rsidRPr="00B51B7C">
        <w:rPr>
          <w:rFonts w:asciiTheme="minorEastAsia" w:hAnsiTheme="minorEastAsia" w:cs="宋体" w:hint="eastAsia"/>
          <w:kern w:val="0"/>
          <w:sz w:val="24"/>
        </w:rPr>
        <w:t>与国网部门</w:t>
      </w:r>
      <w:proofErr w:type="gramEnd"/>
      <w:r w:rsidRPr="00B51B7C">
        <w:rPr>
          <w:rFonts w:asciiTheme="minorEastAsia" w:hAnsiTheme="minorEastAsia" w:cs="宋体" w:hint="eastAsia"/>
          <w:kern w:val="0"/>
          <w:sz w:val="24"/>
        </w:rPr>
        <w:t>沟通良好，无明显迹象表明无法通过下一轮核查；3）被停止拨付的时间仅1年左右，且当时市场环境下，大多数企业普遍对</w:t>
      </w:r>
      <w:proofErr w:type="gramStart"/>
      <w:r w:rsidRPr="00B51B7C">
        <w:rPr>
          <w:rFonts w:asciiTheme="minorEastAsia" w:hAnsiTheme="minorEastAsia" w:cs="宋体" w:hint="eastAsia"/>
          <w:kern w:val="0"/>
          <w:sz w:val="24"/>
        </w:rPr>
        <w:t>国补持</w:t>
      </w:r>
      <w:proofErr w:type="gramEnd"/>
      <w:r w:rsidRPr="00B51B7C">
        <w:rPr>
          <w:rFonts w:asciiTheme="minorEastAsia" w:hAnsiTheme="minorEastAsia" w:cs="宋体" w:hint="eastAsia"/>
          <w:kern w:val="0"/>
          <w:sz w:val="24"/>
        </w:rPr>
        <w:t>乐观态度。</w:t>
      </w:r>
    </w:p>
    <w:p w14:paraId="77509360" w14:textId="5E877F31" w:rsidR="0017470A" w:rsidRPr="00B51B7C" w:rsidRDefault="00563139" w:rsidP="00C71F9C">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2024年末，公司综合考虑多方面因素的影响（同注1），为防范相关风险，体现更为谨慎的财务信息，公司管理层审慎分析了相关应收款，同时兼顾因</w:t>
      </w:r>
      <w:proofErr w:type="gramStart"/>
      <w:r w:rsidRPr="00B51B7C">
        <w:rPr>
          <w:rFonts w:asciiTheme="minorEastAsia" w:hAnsiTheme="minorEastAsia" w:cs="宋体" w:hint="eastAsia"/>
          <w:kern w:val="0"/>
          <w:sz w:val="24"/>
        </w:rPr>
        <w:t>国补停止</w:t>
      </w:r>
      <w:proofErr w:type="gramEnd"/>
      <w:r w:rsidRPr="00B51B7C">
        <w:rPr>
          <w:rFonts w:asciiTheme="minorEastAsia" w:hAnsiTheme="minorEastAsia" w:cs="宋体" w:hint="eastAsia"/>
          <w:kern w:val="0"/>
          <w:sz w:val="24"/>
        </w:rPr>
        <w:t>发放，公司可能存在面临额外赔偿的可能性，故对上述应收款全额计提坏账准备。</w:t>
      </w:r>
    </w:p>
    <w:p w14:paraId="6932C847" w14:textId="77777777" w:rsidR="0017470A" w:rsidRPr="00B51B7C" w:rsidRDefault="0017470A" w:rsidP="00C71F9C">
      <w:pPr>
        <w:spacing w:line="360" w:lineRule="auto"/>
        <w:ind w:firstLineChars="200" w:firstLine="480"/>
        <w:rPr>
          <w:rFonts w:asciiTheme="minorEastAsia" w:hAnsiTheme="minorEastAsia" w:cs="宋体"/>
          <w:kern w:val="0"/>
          <w:sz w:val="24"/>
          <w:szCs w:val="21"/>
        </w:rPr>
      </w:pPr>
      <w:r w:rsidRPr="00B51B7C">
        <w:rPr>
          <w:rFonts w:asciiTheme="minorEastAsia" w:hAnsiTheme="minorEastAsia" w:cs="宋体" w:hint="eastAsia"/>
          <w:kern w:val="0"/>
          <w:sz w:val="24"/>
        </w:rPr>
        <w:t>注3：属于地产项目客户，与公司合作时间约5</w:t>
      </w:r>
      <w:r w:rsidRPr="00B51B7C">
        <w:rPr>
          <w:rFonts w:asciiTheme="minorEastAsia" w:hAnsiTheme="minorEastAsia" w:cs="宋体"/>
          <w:kern w:val="0"/>
          <w:sz w:val="24"/>
        </w:rPr>
        <w:t>-8</w:t>
      </w:r>
      <w:r w:rsidRPr="00B51B7C">
        <w:rPr>
          <w:rFonts w:asciiTheme="minorEastAsia" w:hAnsiTheme="minorEastAsia" w:cs="宋体" w:hint="eastAsia"/>
          <w:kern w:val="0"/>
          <w:sz w:val="24"/>
        </w:rPr>
        <w:t>年。客户自2</w:t>
      </w:r>
      <w:r w:rsidRPr="00B51B7C">
        <w:rPr>
          <w:rFonts w:asciiTheme="minorEastAsia" w:hAnsiTheme="minorEastAsia" w:cs="宋体"/>
          <w:kern w:val="0"/>
          <w:sz w:val="24"/>
        </w:rPr>
        <w:t>022</w:t>
      </w:r>
      <w:r w:rsidRPr="00B51B7C">
        <w:rPr>
          <w:rFonts w:asciiTheme="minorEastAsia" w:hAnsiTheme="minorEastAsia" w:cs="宋体" w:hint="eastAsia"/>
          <w:kern w:val="0"/>
          <w:sz w:val="24"/>
        </w:rPr>
        <w:t>年起因资金周转困难，出现未能按期支付的情况，但直至2</w:t>
      </w:r>
      <w:r w:rsidRPr="00B51B7C">
        <w:rPr>
          <w:rFonts w:asciiTheme="minorEastAsia" w:hAnsiTheme="minorEastAsia" w:cs="宋体"/>
          <w:kern w:val="0"/>
          <w:sz w:val="24"/>
        </w:rPr>
        <w:t>023</w:t>
      </w:r>
      <w:r w:rsidRPr="00B51B7C">
        <w:rPr>
          <w:rFonts w:asciiTheme="minorEastAsia" w:hAnsiTheme="minorEastAsia" w:cs="宋体" w:hint="eastAsia"/>
          <w:kern w:val="0"/>
          <w:sz w:val="24"/>
        </w:rPr>
        <w:t>年末仍陆续支付部分货款。2</w:t>
      </w:r>
      <w:r w:rsidRPr="00B51B7C">
        <w:rPr>
          <w:rFonts w:asciiTheme="minorEastAsia" w:hAnsiTheme="minorEastAsia" w:cs="宋体"/>
          <w:kern w:val="0"/>
          <w:sz w:val="24"/>
        </w:rPr>
        <w:t>024</w:t>
      </w:r>
      <w:r w:rsidRPr="00B51B7C">
        <w:rPr>
          <w:rFonts w:asciiTheme="minorEastAsia" w:hAnsiTheme="minorEastAsia" w:cs="宋体" w:hint="eastAsia"/>
          <w:kern w:val="0"/>
          <w:sz w:val="24"/>
        </w:rPr>
        <w:t>年，客户已被列入失信被执行人，无力支付货款且拖欠时间较久，预计难以追回。</w:t>
      </w:r>
    </w:p>
    <w:p w14:paraId="5C3A361D" w14:textId="160D96DF" w:rsidR="0017470A" w:rsidRPr="00B51B7C" w:rsidRDefault="0017470A" w:rsidP="00C71F9C">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注</w:t>
      </w:r>
      <w:r w:rsidRPr="00B51B7C">
        <w:rPr>
          <w:rFonts w:asciiTheme="minorEastAsia" w:hAnsiTheme="minorEastAsia" w:cs="宋体"/>
          <w:kern w:val="0"/>
          <w:sz w:val="24"/>
        </w:rPr>
        <w:t>4</w:t>
      </w:r>
      <w:r w:rsidRPr="00B51B7C">
        <w:rPr>
          <w:rFonts w:asciiTheme="minorEastAsia" w:hAnsiTheme="minorEastAsia" w:cs="宋体" w:hint="eastAsia"/>
          <w:kern w:val="0"/>
          <w:sz w:val="24"/>
        </w:rPr>
        <w:t>：</w:t>
      </w:r>
      <w:r w:rsidR="00563139" w:rsidRPr="00B51B7C">
        <w:rPr>
          <w:rFonts w:asciiTheme="minorEastAsia" w:hAnsiTheme="minorEastAsia" w:cs="宋体" w:hint="eastAsia"/>
          <w:kern w:val="0"/>
          <w:sz w:val="24"/>
        </w:rPr>
        <w:t>公司与客户</w:t>
      </w:r>
      <w:r w:rsidR="00821E3E" w:rsidRPr="00B51B7C">
        <w:rPr>
          <w:rFonts w:asciiTheme="minorEastAsia" w:hAnsiTheme="minorEastAsia" w:cs="宋体" w:hint="eastAsia"/>
          <w:kern w:val="0"/>
          <w:sz w:val="24"/>
        </w:rPr>
        <w:t>（指上表中客户十三-客户十六</w:t>
      </w:r>
      <w:r w:rsidR="00D00DDE" w:rsidRPr="00B51B7C">
        <w:rPr>
          <w:rFonts w:asciiTheme="minorEastAsia" w:hAnsiTheme="minorEastAsia" w:cs="宋体" w:hint="eastAsia"/>
          <w:kern w:val="0"/>
          <w:sz w:val="24"/>
        </w:rPr>
        <w:t>，属于同</w:t>
      </w:r>
      <w:proofErr w:type="gramStart"/>
      <w:r w:rsidR="00D00DDE" w:rsidRPr="00B51B7C">
        <w:rPr>
          <w:rFonts w:asciiTheme="minorEastAsia" w:hAnsiTheme="minorEastAsia" w:cs="宋体" w:hint="eastAsia"/>
          <w:kern w:val="0"/>
          <w:sz w:val="24"/>
        </w:rPr>
        <w:t>一控制</w:t>
      </w:r>
      <w:proofErr w:type="gramEnd"/>
      <w:r w:rsidR="00D00DDE" w:rsidRPr="00B51B7C">
        <w:rPr>
          <w:rFonts w:asciiTheme="minorEastAsia" w:hAnsiTheme="minorEastAsia" w:cs="宋体" w:hint="eastAsia"/>
          <w:kern w:val="0"/>
          <w:sz w:val="24"/>
        </w:rPr>
        <w:t>下</w:t>
      </w:r>
      <w:r w:rsidR="00821E3E" w:rsidRPr="00B51B7C">
        <w:rPr>
          <w:rFonts w:asciiTheme="minorEastAsia" w:hAnsiTheme="minorEastAsia" w:cs="宋体" w:hint="eastAsia"/>
          <w:kern w:val="0"/>
          <w:sz w:val="24"/>
        </w:rPr>
        <w:t>）</w:t>
      </w:r>
      <w:r w:rsidR="00563139" w:rsidRPr="00B51B7C">
        <w:rPr>
          <w:rFonts w:asciiTheme="minorEastAsia" w:hAnsiTheme="minorEastAsia" w:cs="宋体" w:hint="eastAsia"/>
          <w:kern w:val="0"/>
          <w:sz w:val="24"/>
        </w:rPr>
        <w:t>存在多项业务合作，双方款项未结清主要原因：1）公司未实缴应承担的相关税费、林地占用费、房产税等；2）未如期办理土地证、房产证及因此可能导致的额外处</w:t>
      </w:r>
      <w:r w:rsidR="00563139" w:rsidRPr="00B51B7C">
        <w:rPr>
          <w:rFonts w:asciiTheme="minorEastAsia" w:hAnsiTheme="minorEastAsia" w:cs="宋体" w:hint="eastAsia"/>
          <w:kern w:val="0"/>
          <w:sz w:val="24"/>
        </w:rPr>
        <w:lastRenderedPageBreak/>
        <w:t>罚费用；3）部分消缺事项产生的影响。上述主要事项发生于2024</w:t>
      </w:r>
      <w:r w:rsidR="00821E3E" w:rsidRPr="00B51B7C">
        <w:rPr>
          <w:rFonts w:asciiTheme="minorEastAsia" w:hAnsiTheme="minorEastAsia" w:cs="宋体" w:hint="eastAsia"/>
          <w:kern w:val="0"/>
          <w:sz w:val="24"/>
        </w:rPr>
        <w:t>年，客户</w:t>
      </w:r>
      <w:r w:rsidR="00563139" w:rsidRPr="00B51B7C">
        <w:rPr>
          <w:rFonts w:asciiTheme="minorEastAsia" w:hAnsiTheme="minorEastAsia" w:cs="宋体" w:hint="eastAsia"/>
          <w:kern w:val="0"/>
          <w:sz w:val="24"/>
        </w:rPr>
        <w:t>通过函件、电话等方式告知公司，要求公司</w:t>
      </w:r>
      <w:proofErr w:type="gramStart"/>
      <w:r w:rsidR="00563139" w:rsidRPr="00B51B7C">
        <w:rPr>
          <w:rFonts w:asciiTheme="minorEastAsia" w:hAnsiTheme="minorEastAsia" w:cs="宋体" w:hint="eastAsia"/>
          <w:kern w:val="0"/>
          <w:sz w:val="24"/>
        </w:rPr>
        <w:t>作出</w:t>
      </w:r>
      <w:proofErr w:type="gramEnd"/>
      <w:r w:rsidR="00563139" w:rsidRPr="00B51B7C">
        <w:rPr>
          <w:rFonts w:asciiTheme="minorEastAsia" w:hAnsiTheme="minorEastAsia" w:cs="宋体" w:hint="eastAsia"/>
          <w:kern w:val="0"/>
          <w:sz w:val="24"/>
        </w:rPr>
        <w:t>相应的赔偿。经公司估算，预计</w:t>
      </w:r>
      <w:proofErr w:type="gramStart"/>
      <w:r w:rsidR="00563139" w:rsidRPr="00B51B7C">
        <w:rPr>
          <w:rFonts w:asciiTheme="minorEastAsia" w:hAnsiTheme="minorEastAsia" w:cs="宋体" w:hint="eastAsia"/>
          <w:kern w:val="0"/>
          <w:sz w:val="24"/>
        </w:rPr>
        <w:t>赔偿占</w:t>
      </w:r>
      <w:proofErr w:type="gramEnd"/>
      <w:r w:rsidR="00563139" w:rsidRPr="00B51B7C">
        <w:rPr>
          <w:rFonts w:asciiTheme="minorEastAsia" w:hAnsiTheme="minorEastAsia" w:cs="宋体" w:hint="eastAsia"/>
          <w:kern w:val="0"/>
          <w:sz w:val="24"/>
        </w:rPr>
        <w:t>应收账款余额约91%，综合考虑到资金成本及其他尚未发现的费用、损失等事项影响，基于谨慎考虑，公司将该批应收账款全额计提坏账准备。</w:t>
      </w:r>
    </w:p>
    <w:p w14:paraId="2E2C9E1D" w14:textId="1D772DAE" w:rsidR="00005BF1" w:rsidRPr="00B51B7C" w:rsidRDefault="00005BF1" w:rsidP="00005BF1">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3、</w:t>
      </w:r>
      <w:r w:rsidR="00451C1B" w:rsidRPr="00B51B7C">
        <w:rPr>
          <w:rFonts w:asciiTheme="minorEastAsia" w:hAnsiTheme="minorEastAsia" w:cs="宋体" w:hint="eastAsia"/>
          <w:kern w:val="0"/>
          <w:sz w:val="24"/>
        </w:rPr>
        <w:t>2024年度计提其他应收款坏账损失</w:t>
      </w:r>
      <w:r w:rsidR="00451C1B" w:rsidRPr="00B51B7C">
        <w:rPr>
          <w:rFonts w:asciiTheme="minorEastAsia" w:hAnsiTheme="minorEastAsia" w:cs="宋体"/>
          <w:kern w:val="0"/>
          <w:sz w:val="24"/>
        </w:rPr>
        <w:t>24,258.82</w:t>
      </w:r>
      <w:r w:rsidR="00451C1B" w:rsidRPr="00B51B7C">
        <w:rPr>
          <w:rFonts w:asciiTheme="minorEastAsia" w:hAnsiTheme="minorEastAsia" w:cs="宋体" w:hint="eastAsia"/>
          <w:kern w:val="0"/>
          <w:sz w:val="24"/>
        </w:rPr>
        <w:t>万元，主要情况如下：</w:t>
      </w:r>
    </w:p>
    <w:p w14:paraId="00BA7816" w14:textId="77777777" w:rsidR="00005BF1" w:rsidRPr="00B51B7C" w:rsidRDefault="00005BF1" w:rsidP="003C6F37">
      <w:pPr>
        <w:spacing w:afterLines="50" w:after="156" w:line="360" w:lineRule="auto"/>
        <w:jc w:val="right"/>
        <w:rPr>
          <w:rFonts w:asciiTheme="minorEastAsia" w:hAnsiTheme="minorEastAsia"/>
          <w:sz w:val="24"/>
          <w:szCs w:val="28"/>
        </w:rPr>
      </w:pPr>
      <w:r w:rsidRPr="00B51B7C">
        <w:rPr>
          <w:rFonts w:asciiTheme="minorEastAsia" w:hAnsiTheme="minorEastAsia" w:hint="eastAsia"/>
          <w:sz w:val="24"/>
          <w:szCs w:val="28"/>
        </w:rPr>
        <w:t>单位：人民币万元</w:t>
      </w:r>
    </w:p>
    <w:tbl>
      <w:tblPr>
        <w:tblW w:w="103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275"/>
        <w:gridCol w:w="1300"/>
        <w:gridCol w:w="1300"/>
        <w:gridCol w:w="1096"/>
        <w:gridCol w:w="1178"/>
        <w:gridCol w:w="1629"/>
      </w:tblGrid>
      <w:tr w:rsidR="00005BF1" w:rsidRPr="00B51B7C" w14:paraId="060C7E37" w14:textId="77777777" w:rsidTr="00B51B7C">
        <w:trPr>
          <w:trHeight w:val="390"/>
          <w:tblHeader/>
        </w:trPr>
        <w:tc>
          <w:tcPr>
            <w:tcW w:w="1277" w:type="dxa"/>
            <w:vMerge w:val="restart"/>
            <w:shd w:val="clear" w:color="auto" w:fill="FFFFFF"/>
            <w:vAlign w:val="center"/>
            <w:hideMark/>
          </w:tcPr>
          <w:p w14:paraId="0C9D844A" w14:textId="5A261A25"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名称</w:t>
            </w:r>
          </w:p>
        </w:tc>
        <w:tc>
          <w:tcPr>
            <w:tcW w:w="2551" w:type="dxa"/>
            <w:gridSpan w:val="2"/>
            <w:shd w:val="clear" w:color="auto" w:fill="FFFFFF"/>
            <w:vAlign w:val="center"/>
            <w:hideMark/>
          </w:tcPr>
          <w:p w14:paraId="11E8C961"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期初余额</w:t>
            </w:r>
          </w:p>
        </w:tc>
        <w:tc>
          <w:tcPr>
            <w:tcW w:w="3696" w:type="dxa"/>
            <w:gridSpan w:val="3"/>
            <w:shd w:val="clear" w:color="auto" w:fill="FFFFFF"/>
            <w:vAlign w:val="center"/>
            <w:hideMark/>
          </w:tcPr>
          <w:p w14:paraId="2A823996"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期末余额</w:t>
            </w:r>
          </w:p>
        </w:tc>
        <w:tc>
          <w:tcPr>
            <w:tcW w:w="1178" w:type="dxa"/>
            <w:vMerge w:val="restart"/>
            <w:shd w:val="clear" w:color="auto" w:fill="FFFFFF"/>
            <w:vAlign w:val="center"/>
            <w:hideMark/>
          </w:tcPr>
          <w:p w14:paraId="60E7F92F"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本期新增计提</w:t>
            </w:r>
          </w:p>
        </w:tc>
        <w:tc>
          <w:tcPr>
            <w:tcW w:w="1629" w:type="dxa"/>
            <w:vMerge w:val="restart"/>
            <w:shd w:val="clear" w:color="auto" w:fill="FFFFFF"/>
            <w:vAlign w:val="center"/>
            <w:hideMark/>
          </w:tcPr>
          <w:p w14:paraId="3E4F5F6C"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计提理由</w:t>
            </w:r>
          </w:p>
        </w:tc>
      </w:tr>
      <w:tr w:rsidR="00005BF1" w:rsidRPr="00B51B7C" w14:paraId="79A71DDF" w14:textId="77777777" w:rsidTr="00B51B7C">
        <w:trPr>
          <w:trHeight w:val="390"/>
          <w:tblHeader/>
        </w:trPr>
        <w:tc>
          <w:tcPr>
            <w:tcW w:w="1277" w:type="dxa"/>
            <w:vMerge/>
            <w:vAlign w:val="center"/>
            <w:hideMark/>
          </w:tcPr>
          <w:p w14:paraId="2852BE80" w14:textId="77777777" w:rsidR="00005BF1" w:rsidRPr="00B51B7C" w:rsidRDefault="00005BF1" w:rsidP="00BF7747">
            <w:pPr>
              <w:widowControl/>
              <w:jc w:val="left"/>
              <w:rPr>
                <w:rFonts w:asciiTheme="minorEastAsia" w:hAnsiTheme="minorEastAsia" w:cs="宋体"/>
                <w:kern w:val="0"/>
                <w:szCs w:val="21"/>
              </w:rPr>
            </w:pPr>
          </w:p>
        </w:tc>
        <w:tc>
          <w:tcPr>
            <w:tcW w:w="1276" w:type="dxa"/>
            <w:shd w:val="clear" w:color="auto" w:fill="FFFFFF"/>
            <w:vAlign w:val="center"/>
            <w:hideMark/>
          </w:tcPr>
          <w:p w14:paraId="09630906"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账面余额</w:t>
            </w:r>
          </w:p>
        </w:tc>
        <w:tc>
          <w:tcPr>
            <w:tcW w:w="1275" w:type="dxa"/>
            <w:shd w:val="clear" w:color="auto" w:fill="FFFFFF"/>
            <w:vAlign w:val="center"/>
            <w:hideMark/>
          </w:tcPr>
          <w:p w14:paraId="375DDA76"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坏账准备</w:t>
            </w:r>
          </w:p>
        </w:tc>
        <w:tc>
          <w:tcPr>
            <w:tcW w:w="1300" w:type="dxa"/>
            <w:shd w:val="clear" w:color="auto" w:fill="FFFFFF"/>
            <w:vAlign w:val="center"/>
            <w:hideMark/>
          </w:tcPr>
          <w:p w14:paraId="2692ABF2"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账面余额</w:t>
            </w:r>
          </w:p>
        </w:tc>
        <w:tc>
          <w:tcPr>
            <w:tcW w:w="1300" w:type="dxa"/>
            <w:shd w:val="clear" w:color="auto" w:fill="FFFFFF"/>
            <w:vAlign w:val="center"/>
            <w:hideMark/>
          </w:tcPr>
          <w:p w14:paraId="63DB3CE7"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坏账准备</w:t>
            </w:r>
          </w:p>
        </w:tc>
        <w:tc>
          <w:tcPr>
            <w:tcW w:w="1096" w:type="dxa"/>
            <w:shd w:val="clear" w:color="auto" w:fill="FFFFFF"/>
            <w:vAlign w:val="center"/>
            <w:hideMark/>
          </w:tcPr>
          <w:p w14:paraId="6CBC4986"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计提比例</w:t>
            </w:r>
          </w:p>
        </w:tc>
        <w:tc>
          <w:tcPr>
            <w:tcW w:w="0" w:type="auto"/>
            <w:vMerge/>
            <w:vAlign w:val="center"/>
            <w:hideMark/>
          </w:tcPr>
          <w:p w14:paraId="0E5D9132" w14:textId="77777777" w:rsidR="00005BF1" w:rsidRPr="00B51B7C" w:rsidRDefault="00005BF1" w:rsidP="00BF7747">
            <w:pPr>
              <w:widowControl/>
              <w:jc w:val="left"/>
              <w:rPr>
                <w:rFonts w:asciiTheme="minorEastAsia" w:hAnsiTheme="minorEastAsia" w:cs="宋体"/>
                <w:kern w:val="0"/>
                <w:szCs w:val="21"/>
              </w:rPr>
            </w:pPr>
          </w:p>
        </w:tc>
        <w:tc>
          <w:tcPr>
            <w:tcW w:w="1629" w:type="dxa"/>
            <w:vMerge/>
            <w:vAlign w:val="center"/>
            <w:hideMark/>
          </w:tcPr>
          <w:p w14:paraId="3697D3DA" w14:textId="77777777" w:rsidR="00005BF1" w:rsidRPr="00B51B7C" w:rsidRDefault="00005BF1" w:rsidP="00BF7747">
            <w:pPr>
              <w:widowControl/>
              <w:jc w:val="left"/>
              <w:rPr>
                <w:rFonts w:asciiTheme="minorEastAsia" w:hAnsiTheme="minorEastAsia" w:cs="宋体"/>
                <w:kern w:val="0"/>
                <w:szCs w:val="21"/>
              </w:rPr>
            </w:pPr>
          </w:p>
        </w:tc>
      </w:tr>
      <w:tr w:rsidR="00005BF1" w:rsidRPr="00B51B7C" w14:paraId="14D0E425" w14:textId="77777777" w:rsidTr="00B51B7C">
        <w:trPr>
          <w:trHeight w:val="480"/>
        </w:trPr>
        <w:tc>
          <w:tcPr>
            <w:tcW w:w="1277" w:type="dxa"/>
            <w:vAlign w:val="center"/>
            <w:hideMark/>
          </w:tcPr>
          <w:p w14:paraId="1B31DF63" w14:textId="77777777" w:rsidR="00005BF1" w:rsidRPr="00B51B7C" w:rsidRDefault="00005BF1" w:rsidP="00BF7747">
            <w:pPr>
              <w:widowControl/>
              <w:jc w:val="left"/>
              <w:rPr>
                <w:rFonts w:asciiTheme="minorEastAsia" w:hAnsiTheme="minorEastAsia"/>
                <w:kern w:val="0"/>
                <w:szCs w:val="21"/>
              </w:rPr>
            </w:pPr>
            <w:r w:rsidRPr="00B51B7C">
              <w:rPr>
                <w:rFonts w:asciiTheme="minorEastAsia" w:hAnsiTheme="minorEastAsia" w:hint="eastAsia"/>
                <w:szCs w:val="21"/>
              </w:rPr>
              <w:t>江苏中利控股集团有限公司</w:t>
            </w:r>
          </w:p>
        </w:tc>
        <w:tc>
          <w:tcPr>
            <w:tcW w:w="1276" w:type="dxa"/>
            <w:vAlign w:val="center"/>
            <w:hideMark/>
          </w:tcPr>
          <w:p w14:paraId="635397AE"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180,519.19</w:t>
            </w:r>
          </w:p>
        </w:tc>
        <w:tc>
          <w:tcPr>
            <w:tcW w:w="1275" w:type="dxa"/>
            <w:vAlign w:val="center"/>
            <w:hideMark/>
          </w:tcPr>
          <w:p w14:paraId="18EEC954"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160,987.46</w:t>
            </w:r>
          </w:p>
        </w:tc>
        <w:tc>
          <w:tcPr>
            <w:tcW w:w="1300" w:type="dxa"/>
            <w:vAlign w:val="center"/>
            <w:hideMark/>
          </w:tcPr>
          <w:p w14:paraId="1BAE4A33"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179,428.62</w:t>
            </w:r>
          </w:p>
        </w:tc>
        <w:tc>
          <w:tcPr>
            <w:tcW w:w="1300" w:type="dxa"/>
            <w:vAlign w:val="center"/>
            <w:hideMark/>
          </w:tcPr>
          <w:p w14:paraId="0861403A"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179,428.62</w:t>
            </w:r>
          </w:p>
        </w:tc>
        <w:tc>
          <w:tcPr>
            <w:tcW w:w="1096" w:type="dxa"/>
            <w:vAlign w:val="center"/>
            <w:hideMark/>
          </w:tcPr>
          <w:p w14:paraId="15E99F4E"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100%</w:t>
            </w:r>
          </w:p>
        </w:tc>
        <w:tc>
          <w:tcPr>
            <w:tcW w:w="1178" w:type="dxa"/>
            <w:vAlign w:val="center"/>
            <w:hideMark/>
          </w:tcPr>
          <w:p w14:paraId="3E912996"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18,441.16</w:t>
            </w:r>
          </w:p>
        </w:tc>
        <w:tc>
          <w:tcPr>
            <w:tcW w:w="1629" w:type="dxa"/>
            <w:vAlign w:val="center"/>
            <w:hideMark/>
          </w:tcPr>
          <w:p w14:paraId="61F52673"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计提原大股东资金占用，详见本题（1）的相关回复</w:t>
            </w:r>
          </w:p>
        </w:tc>
      </w:tr>
      <w:tr w:rsidR="00005BF1" w:rsidRPr="00B51B7C" w14:paraId="09DC305C" w14:textId="77777777" w:rsidTr="00B51B7C">
        <w:trPr>
          <w:trHeight w:val="480"/>
        </w:trPr>
        <w:tc>
          <w:tcPr>
            <w:tcW w:w="1277" w:type="dxa"/>
            <w:vAlign w:val="center"/>
            <w:hideMark/>
          </w:tcPr>
          <w:p w14:paraId="2CCD152B" w14:textId="02C5EED0" w:rsidR="00005BF1" w:rsidRPr="00B51B7C" w:rsidRDefault="00C224DA" w:rsidP="00BF7747">
            <w:pPr>
              <w:jc w:val="left"/>
              <w:rPr>
                <w:rFonts w:asciiTheme="minorEastAsia" w:hAnsiTheme="minorEastAsia"/>
                <w:szCs w:val="21"/>
              </w:rPr>
            </w:pPr>
            <w:r w:rsidRPr="00B51B7C">
              <w:rPr>
                <w:rFonts w:asciiTheme="minorEastAsia" w:hAnsiTheme="minorEastAsia" w:hint="eastAsia"/>
                <w:szCs w:val="21"/>
              </w:rPr>
              <w:t>供应商</w:t>
            </w:r>
            <w:proofErr w:type="gramStart"/>
            <w:r w:rsidRPr="00B51B7C">
              <w:rPr>
                <w:rFonts w:asciiTheme="minorEastAsia" w:hAnsiTheme="minorEastAsia" w:hint="eastAsia"/>
                <w:szCs w:val="21"/>
              </w:rPr>
              <w:t>一</w:t>
            </w:r>
            <w:proofErr w:type="gramEnd"/>
          </w:p>
        </w:tc>
        <w:tc>
          <w:tcPr>
            <w:tcW w:w="1276" w:type="dxa"/>
            <w:vAlign w:val="center"/>
            <w:hideMark/>
          </w:tcPr>
          <w:p w14:paraId="52B1CF2A"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w:t>
            </w:r>
          </w:p>
        </w:tc>
        <w:tc>
          <w:tcPr>
            <w:tcW w:w="1275" w:type="dxa"/>
            <w:vAlign w:val="center"/>
            <w:hideMark/>
          </w:tcPr>
          <w:p w14:paraId="0A654F1C"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w:t>
            </w:r>
          </w:p>
        </w:tc>
        <w:tc>
          <w:tcPr>
            <w:tcW w:w="1300" w:type="dxa"/>
            <w:vAlign w:val="center"/>
            <w:hideMark/>
          </w:tcPr>
          <w:p w14:paraId="6B989845"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1,475.62</w:t>
            </w:r>
          </w:p>
        </w:tc>
        <w:tc>
          <w:tcPr>
            <w:tcW w:w="1300" w:type="dxa"/>
            <w:vAlign w:val="center"/>
            <w:hideMark/>
          </w:tcPr>
          <w:p w14:paraId="58168A9F"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1,475.62</w:t>
            </w:r>
          </w:p>
        </w:tc>
        <w:tc>
          <w:tcPr>
            <w:tcW w:w="1096" w:type="dxa"/>
            <w:vAlign w:val="center"/>
            <w:hideMark/>
          </w:tcPr>
          <w:p w14:paraId="73D0E3D4"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100%</w:t>
            </w:r>
          </w:p>
        </w:tc>
        <w:tc>
          <w:tcPr>
            <w:tcW w:w="1178" w:type="dxa"/>
            <w:vAlign w:val="center"/>
            <w:hideMark/>
          </w:tcPr>
          <w:p w14:paraId="2FC135B3"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1,475.62</w:t>
            </w:r>
          </w:p>
        </w:tc>
        <w:tc>
          <w:tcPr>
            <w:tcW w:w="1629" w:type="dxa"/>
            <w:vAlign w:val="center"/>
            <w:hideMark/>
          </w:tcPr>
          <w:p w14:paraId="2235ED45"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注1</w:t>
            </w:r>
          </w:p>
        </w:tc>
      </w:tr>
      <w:tr w:rsidR="00005BF1" w:rsidRPr="00B51B7C" w14:paraId="07061A0C" w14:textId="77777777" w:rsidTr="00B51B7C">
        <w:trPr>
          <w:trHeight w:val="480"/>
        </w:trPr>
        <w:tc>
          <w:tcPr>
            <w:tcW w:w="1277" w:type="dxa"/>
            <w:vAlign w:val="center"/>
            <w:hideMark/>
          </w:tcPr>
          <w:p w14:paraId="5F37E70D" w14:textId="6F31AAA3" w:rsidR="00005BF1" w:rsidRPr="00B51B7C" w:rsidRDefault="00C224DA" w:rsidP="00BF7747">
            <w:pPr>
              <w:jc w:val="left"/>
              <w:rPr>
                <w:rFonts w:asciiTheme="minorEastAsia" w:hAnsiTheme="minorEastAsia"/>
                <w:szCs w:val="21"/>
              </w:rPr>
            </w:pPr>
            <w:r w:rsidRPr="00B51B7C">
              <w:rPr>
                <w:rFonts w:asciiTheme="minorEastAsia" w:hAnsiTheme="minorEastAsia" w:hint="eastAsia"/>
                <w:szCs w:val="21"/>
              </w:rPr>
              <w:t>供应商二</w:t>
            </w:r>
          </w:p>
        </w:tc>
        <w:tc>
          <w:tcPr>
            <w:tcW w:w="1276" w:type="dxa"/>
            <w:vAlign w:val="center"/>
            <w:hideMark/>
          </w:tcPr>
          <w:p w14:paraId="7EA7CF4F"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w:t>
            </w:r>
          </w:p>
        </w:tc>
        <w:tc>
          <w:tcPr>
            <w:tcW w:w="1275" w:type="dxa"/>
            <w:vAlign w:val="center"/>
            <w:hideMark/>
          </w:tcPr>
          <w:p w14:paraId="06C917FE"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w:t>
            </w:r>
          </w:p>
        </w:tc>
        <w:tc>
          <w:tcPr>
            <w:tcW w:w="1300" w:type="dxa"/>
            <w:vAlign w:val="center"/>
            <w:hideMark/>
          </w:tcPr>
          <w:p w14:paraId="6BAA1C59"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1,337.75</w:t>
            </w:r>
          </w:p>
        </w:tc>
        <w:tc>
          <w:tcPr>
            <w:tcW w:w="1300" w:type="dxa"/>
            <w:vAlign w:val="center"/>
            <w:hideMark/>
          </w:tcPr>
          <w:p w14:paraId="780E818F"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1,337.75</w:t>
            </w:r>
          </w:p>
        </w:tc>
        <w:tc>
          <w:tcPr>
            <w:tcW w:w="1096" w:type="dxa"/>
            <w:vAlign w:val="center"/>
            <w:hideMark/>
          </w:tcPr>
          <w:p w14:paraId="5F8D3545"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100%</w:t>
            </w:r>
          </w:p>
        </w:tc>
        <w:tc>
          <w:tcPr>
            <w:tcW w:w="1178" w:type="dxa"/>
            <w:vAlign w:val="center"/>
            <w:hideMark/>
          </w:tcPr>
          <w:p w14:paraId="47418EAE"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1,337.75</w:t>
            </w:r>
          </w:p>
        </w:tc>
        <w:tc>
          <w:tcPr>
            <w:tcW w:w="1629" w:type="dxa"/>
            <w:vAlign w:val="center"/>
            <w:hideMark/>
          </w:tcPr>
          <w:p w14:paraId="390B714B" w14:textId="77777777" w:rsidR="00005BF1" w:rsidRPr="00B51B7C" w:rsidRDefault="00005BF1" w:rsidP="00BF7747">
            <w:pPr>
              <w:jc w:val="center"/>
              <w:rPr>
                <w:rFonts w:asciiTheme="minorEastAsia" w:hAnsiTheme="minorEastAsia"/>
                <w:szCs w:val="21"/>
              </w:rPr>
            </w:pPr>
            <w:r w:rsidRPr="00B51B7C">
              <w:rPr>
                <w:rFonts w:asciiTheme="minorEastAsia" w:hAnsiTheme="minorEastAsia" w:hint="eastAsia"/>
                <w:szCs w:val="21"/>
              </w:rPr>
              <w:t>注2</w:t>
            </w:r>
          </w:p>
        </w:tc>
      </w:tr>
      <w:tr w:rsidR="00005BF1" w:rsidRPr="00B51B7C" w14:paraId="7FEFFBB6" w14:textId="77777777" w:rsidTr="00B51B7C">
        <w:trPr>
          <w:trHeight w:val="480"/>
        </w:trPr>
        <w:tc>
          <w:tcPr>
            <w:tcW w:w="1277" w:type="dxa"/>
            <w:vAlign w:val="center"/>
            <w:hideMark/>
          </w:tcPr>
          <w:p w14:paraId="102202FF" w14:textId="77777777" w:rsidR="00005BF1" w:rsidRPr="00B51B7C" w:rsidRDefault="00005BF1" w:rsidP="00BF7747">
            <w:pPr>
              <w:jc w:val="center"/>
              <w:rPr>
                <w:rFonts w:asciiTheme="minorEastAsia" w:hAnsiTheme="minorEastAsia"/>
                <w:b/>
                <w:szCs w:val="21"/>
              </w:rPr>
            </w:pPr>
            <w:r w:rsidRPr="00B51B7C">
              <w:rPr>
                <w:rFonts w:asciiTheme="minorEastAsia" w:hAnsiTheme="minorEastAsia" w:hint="eastAsia"/>
                <w:b/>
                <w:szCs w:val="21"/>
              </w:rPr>
              <w:t>合计</w:t>
            </w:r>
          </w:p>
        </w:tc>
        <w:tc>
          <w:tcPr>
            <w:tcW w:w="1276" w:type="dxa"/>
            <w:vAlign w:val="center"/>
          </w:tcPr>
          <w:p w14:paraId="03D9B2CD" w14:textId="77777777" w:rsidR="00005BF1" w:rsidRPr="00B51B7C" w:rsidRDefault="00005BF1" w:rsidP="00BF7747">
            <w:pPr>
              <w:jc w:val="center"/>
              <w:rPr>
                <w:rFonts w:asciiTheme="minorEastAsia" w:hAnsiTheme="minorEastAsia"/>
                <w:b/>
                <w:szCs w:val="28"/>
              </w:rPr>
            </w:pPr>
            <w:r w:rsidRPr="00B51B7C">
              <w:rPr>
                <w:rFonts w:asciiTheme="minorEastAsia" w:hAnsiTheme="minorEastAsia" w:hint="eastAsia"/>
                <w:b/>
                <w:szCs w:val="28"/>
              </w:rPr>
              <w:fldChar w:fldCharType="begin"/>
            </w:r>
            <w:r w:rsidRPr="00B51B7C">
              <w:rPr>
                <w:rFonts w:asciiTheme="minorEastAsia" w:hAnsiTheme="minorEastAsia" w:hint="eastAsia"/>
                <w:b/>
                <w:szCs w:val="28"/>
              </w:rPr>
              <w:instrText xml:space="preserve"> =SUM(ABOVE) </w:instrText>
            </w:r>
            <w:r w:rsidRPr="00B51B7C">
              <w:rPr>
                <w:rFonts w:asciiTheme="minorEastAsia" w:hAnsiTheme="minorEastAsia" w:hint="eastAsia"/>
                <w:b/>
                <w:szCs w:val="28"/>
              </w:rPr>
              <w:fldChar w:fldCharType="separate"/>
            </w:r>
            <w:r w:rsidRPr="00B51B7C">
              <w:rPr>
                <w:rFonts w:asciiTheme="minorEastAsia" w:hAnsiTheme="minorEastAsia" w:hint="eastAsia"/>
                <w:b/>
                <w:noProof/>
                <w:szCs w:val="28"/>
              </w:rPr>
              <w:t>180,519.19</w:t>
            </w:r>
            <w:r w:rsidRPr="00B51B7C">
              <w:rPr>
                <w:rFonts w:asciiTheme="minorEastAsia" w:hAnsiTheme="minorEastAsia" w:hint="eastAsia"/>
                <w:b/>
                <w:szCs w:val="28"/>
              </w:rPr>
              <w:fldChar w:fldCharType="end"/>
            </w:r>
          </w:p>
        </w:tc>
        <w:tc>
          <w:tcPr>
            <w:tcW w:w="1275" w:type="dxa"/>
            <w:vAlign w:val="center"/>
          </w:tcPr>
          <w:p w14:paraId="51AD24DC" w14:textId="77777777" w:rsidR="00005BF1" w:rsidRPr="00B51B7C" w:rsidRDefault="00005BF1" w:rsidP="00BF7747">
            <w:pPr>
              <w:jc w:val="center"/>
              <w:rPr>
                <w:rFonts w:asciiTheme="minorEastAsia" w:hAnsiTheme="minorEastAsia"/>
                <w:b/>
                <w:bCs/>
                <w:szCs w:val="28"/>
              </w:rPr>
            </w:pPr>
            <w:r w:rsidRPr="00B51B7C">
              <w:rPr>
                <w:rFonts w:asciiTheme="minorEastAsia" w:hAnsiTheme="minorEastAsia" w:hint="eastAsia"/>
                <w:b/>
                <w:bCs/>
                <w:szCs w:val="28"/>
              </w:rPr>
              <w:t>160,987.46</w:t>
            </w:r>
          </w:p>
        </w:tc>
        <w:tc>
          <w:tcPr>
            <w:tcW w:w="1300" w:type="dxa"/>
            <w:vAlign w:val="center"/>
          </w:tcPr>
          <w:p w14:paraId="7A6BE336" w14:textId="77777777" w:rsidR="00005BF1" w:rsidRPr="00B51B7C" w:rsidRDefault="00005BF1" w:rsidP="00BF7747">
            <w:pPr>
              <w:jc w:val="center"/>
              <w:rPr>
                <w:rFonts w:asciiTheme="minorEastAsia" w:hAnsiTheme="minorEastAsia"/>
                <w:b/>
                <w:bCs/>
                <w:szCs w:val="28"/>
              </w:rPr>
            </w:pPr>
            <w:r w:rsidRPr="00B51B7C">
              <w:rPr>
                <w:rFonts w:asciiTheme="minorEastAsia" w:hAnsiTheme="minorEastAsia" w:hint="eastAsia"/>
                <w:b/>
                <w:bCs/>
                <w:color w:val="000000"/>
                <w:szCs w:val="28"/>
              </w:rPr>
              <w:t>182,241.99</w:t>
            </w:r>
          </w:p>
        </w:tc>
        <w:tc>
          <w:tcPr>
            <w:tcW w:w="1300" w:type="dxa"/>
            <w:vAlign w:val="center"/>
          </w:tcPr>
          <w:p w14:paraId="17F87FE9" w14:textId="77777777" w:rsidR="00005BF1" w:rsidRPr="00B51B7C" w:rsidRDefault="00005BF1" w:rsidP="00BF7747">
            <w:pPr>
              <w:jc w:val="center"/>
              <w:rPr>
                <w:rFonts w:asciiTheme="minorEastAsia" w:hAnsiTheme="minorEastAsia"/>
                <w:b/>
                <w:bCs/>
                <w:szCs w:val="28"/>
              </w:rPr>
            </w:pPr>
            <w:r w:rsidRPr="00B51B7C">
              <w:rPr>
                <w:rFonts w:asciiTheme="minorEastAsia" w:hAnsiTheme="minorEastAsia" w:hint="eastAsia"/>
                <w:b/>
                <w:bCs/>
                <w:color w:val="000000"/>
                <w:szCs w:val="28"/>
              </w:rPr>
              <w:t>182,241.99</w:t>
            </w:r>
          </w:p>
        </w:tc>
        <w:tc>
          <w:tcPr>
            <w:tcW w:w="1096" w:type="dxa"/>
            <w:vAlign w:val="center"/>
          </w:tcPr>
          <w:p w14:paraId="334FD9B3" w14:textId="77777777" w:rsidR="00005BF1" w:rsidRPr="00B51B7C" w:rsidRDefault="00005BF1" w:rsidP="00BF7747">
            <w:pPr>
              <w:jc w:val="center"/>
              <w:rPr>
                <w:rFonts w:asciiTheme="minorEastAsia" w:hAnsiTheme="minorEastAsia"/>
                <w:b/>
                <w:bCs/>
                <w:szCs w:val="28"/>
              </w:rPr>
            </w:pPr>
            <w:r w:rsidRPr="00B51B7C">
              <w:rPr>
                <w:rFonts w:asciiTheme="minorEastAsia" w:hAnsiTheme="minorEastAsia" w:hint="eastAsia"/>
                <w:b/>
                <w:bCs/>
                <w:szCs w:val="28"/>
              </w:rPr>
              <w:t>100%</w:t>
            </w:r>
          </w:p>
        </w:tc>
        <w:tc>
          <w:tcPr>
            <w:tcW w:w="1178" w:type="dxa"/>
            <w:vAlign w:val="center"/>
          </w:tcPr>
          <w:p w14:paraId="195F6984" w14:textId="77777777" w:rsidR="00005BF1" w:rsidRPr="00B51B7C" w:rsidRDefault="00005BF1" w:rsidP="00BF7747">
            <w:pPr>
              <w:jc w:val="center"/>
              <w:rPr>
                <w:rFonts w:asciiTheme="minorEastAsia" w:hAnsiTheme="minorEastAsia"/>
                <w:b/>
                <w:bCs/>
                <w:szCs w:val="28"/>
              </w:rPr>
            </w:pPr>
            <w:r w:rsidRPr="00B51B7C">
              <w:rPr>
                <w:rFonts w:asciiTheme="minorEastAsia" w:hAnsiTheme="minorEastAsia" w:hint="eastAsia"/>
                <w:b/>
                <w:bCs/>
                <w:color w:val="000000"/>
                <w:szCs w:val="28"/>
              </w:rPr>
              <w:t>21,254.53</w:t>
            </w:r>
          </w:p>
        </w:tc>
        <w:tc>
          <w:tcPr>
            <w:tcW w:w="1629" w:type="dxa"/>
            <w:vAlign w:val="center"/>
          </w:tcPr>
          <w:p w14:paraId="7C5FBD59" w14:textId="77777777" w:rsidR="00005BF1" w:rsidRPr="00B51B7C" w:rsidRDefault="00005BF1" w:rsidP="00BF7747">
            <w:pPr>
              <w:jc w:val="center"/>
              <w:rPr>
                <w:rFonts w:asciiTheme="minorEastAsia" w:hAnsiTheme="minorEastAsia"/>
                <w:b/>
                <w:szCs w:val="28"/>
              </w:rPr>
            </w:pPr>
          </w:p>
        </w:tc>
      </w:tr>
    </w:tbl>
    <w:p w14:paraId="514ABF72" w14:textId="71FEE033" w:rsidR="0017470A" w:rsidRPr="00B51B7C" w:rsidRDefault="0017470A" w:rsidP="00B51B7C">
      <w:pPr>
        <w:spacing w:line="360" w:lineRule="auto"/>
        <w:ind w:firstLineChars="200" w:firstLine="480"/>
        <w:rPr>
          <w:rFonts w:asciiTheme="minorEastAsia" w:hAnsiTheme="minorEastAsia" w:cs="宋体"/>
          <w:kern w:val="0"/>
          <w:sz w:val="24"/>
        </w:rPr>
      </w:pPr>
      <w:bookmarkStart w:id="6" w:name="OLE_LINK45"/>
      <w:r w:rsidRPr="00B51B7C">
        <w:rPr>
          <w:rFonts w:asciiTheme="minorEastAsia" w:hAnsiTheme="minorEastAsia" w:cs="宋体" w:hint="eastAsia"/>
          <w:kern w:val="0"/>
          <w:sz w:val="24"/>
        </w:rPr>
        <w:t>注1：</w:t>
      </w:r>
      <w:r w:rsidR="00C224DA" w:rsidRPr="00B51B7C">
        <w:rPr>
          <w:rFonts w:asciiTheme="minorEastAsia" w:hAnsiTheme="minorEastAsia" w:cs="宋体" w:hint="eastAsia"/>
          <w:kern w:val="0"/>
          <w:sz w:val="24"/>
        </w:rPr>
        <w:t>供应商</w:t>
      </w:r>
      <w:proofErr w:type="gramStart"/>
      <w:r w:rsidR="00C224DA" w:rsidRPr="00B51B7C">
        <w:rPr>
          <w:rFonts w:asciiTheme="minorEastAsia" w:hAnsiTheme="minorEastAsia" w:cs="宋体" w:hint="eastAsia"/>
          <w:kern w:val="0"/>
          <w:sz w:val="24"/>
        </w:rPr>
        <w:t>一</w:t>
      </w:r>
      <w:proofErr w:type="gramEnd"/>
      <w:r w:rsidRPr="00B51B7C">
        <w:rPr>
          <w:rFonts w:asciiTheme="minorEastAsia" w:hAnsiTheme="minorEastAsia" w:cs="宋体" w:hint="eastAsia"/>
          <w:kern w:val="0"/>
          <w:sz w:val="24"/>
        </w:rPr>
        <w:t>已破产清算，苏州</w:t>
      </w:r>
      <w:proofErr w:type="gramStart"/>
      <w:r w:rsidRPr="00B51B7C">
        <w:rPr>
          <w:rFonts w:asciiTheme="minorEastAsia" w:hAnsiTheme="minorEastAsia" w:cs="宋体" w:hint="eastAsia"/>
          <w:kern w:val="0"/>
          <w:sz w:val="24"/>
        </w:rPr>
        <w:t>腾晖正在</w:t>
      </w:r>
      <w:proofErr w:type="gramEnd"/>
      <w:r w:rsidRPr="00B51B7C">
        <w:rPr>
          <w:rFonts w:asciiTheme="minorEastAsia" w:hAnsiTheme="minorEastAsia" w:cs="宋体" w:hint="eastAsia"/>
          <w:kern w:val="0"/>
          <w:sz w:val="24"/>
        </w:rPr>
        <w:t>申报债权，基于谨慎性原则，全额计提坏账准备。</w:t>
      </w:r>
    </w:p>
    <w:p w14:paraId="3B9F6656" w14:textId="36C6E9C1" w:rsidR="0017470A" w:rsidRPr="00B51B7C" w:rsidRDefault="0017470A" w:rsidP="00B51B7C">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注2：苏州</w:t>
      </w:r>
      <w:proofErr w:type="gramStart"/>
      <w:r w:rsidRPr="00B51B7C">
        <w:rPr>
          <w:rFonts w:asciiTheme="minorEastAsia" w:hAnsiTheme="minorEastAsia" w:cs="宋体" w:hint="eastAsia"/>
          <w:kern w:val="0"/>
          <w:sz w:val="24"/>
        </w:rPr>
        <w:t>腾晖进入</w:t>
      </w:r>
      <w:proofErr w:type="gramEnd"/>
      <w:r w:rsidRPr="00B51B7C">
        <w:rPr>
          <w:rFonts w:asciiTheme="minorEastAsia" w:hAnsiTheme="minorEastAsia" w:cs="宋体" w:hint="eastAsia"/>
          <w:kern w:val="0"/>
          <w:sz w:val="24"/>
        </w:rPr>
        <w:t>破产重整程序，</w:t>
      </w:r>
      <w:r w:rsidR="00C224DA" w:rsidRPr="00B51B7C">
        <w:rPr>
          <w:rFonts w:asciiTheme="minorEastAsia" w:hAnsiTheme="minorEastAsia" w:cs="宋体" w:hint="eastAsia"/>
          <w:kern w:val="0"/>
          <w:sz w:val="24"/>
        </w:rPr>
        <w:t>供应商二作为债权人向管理人申报的债权经裁定后</w:t>
      </w:r>
      <w:r w:rsidRPr="00B51B7C">
        <w:rPr>
          <w:rFonts w:asciiTheme="minorEastAsia" w:hAnsiTheme="minorEastAsia" w:cs="宋体" w:hint="eastAsia"/>
          <w:kern w:val="0"/>
          <w:sz w:val="24"/>
        </w:rPr>
        <w:t>未能足额受偿，其有权扣除</w:t>
      </w:r>
      <w:r w:rsidR="00C224DA" w:rsidRPr="00B51B7C">
        <w:rPr>
          <w:rFonts w:asciiTheme="minorEastAsia" w:hAnsiTheme="minorEastAsia" w:cs="宋体" w:hint="eastAsia"/>
          <w:kern w:val="0"/>
          <w:sz w:val="24"/>
        </w:rPr>
        <w:t>公司原支付的业务</w:t>
      </w:r>
      <w:r w:rsidRPr="00B51B7C">
        <w:rPr>
          <w:rFonts w:asciiTheme="minorEastAsia" w:hAnsiTheme="minorEastAsia" w:cs="宋体" w:hint="eastAsia"/>
          <w:kern w:val="0"/>
          <w:sz w:val="24"/>
        </w:rPr>
        <w:t>保证金</w:t>
      </w:r>
      <w:r w:rsidR="00C224DA" w:rsidRPr="00B51B7C">
        <w:rPr>
          <w:rFonts w:asciiTheme="minorEastAsia" w:hAnsiTheme="minorEastAsia" w:cs="宋体" w:hint="eastAsia"/>
          <w:kern w:val="0"/>
          <w:sz w:val="24"/>
        </w:rPr>
        <w:t>。公司无法收回上述保证金，</w:t>
      </w:r>
      <w:r w:rsidRPr="00B51B7C">
        <w:rPr>
          <w:rFonts w:asciiTheme="minorEastAsia" w:hAnsiTheme="minorEastAsia" w:cs="宋体" w:hint="eastAsia"/>
          <w:kern w:val="0"/>
          <w:sz w:val="24"/>
        </w:rPr>
        <w:t>故全额计提坏账准备。</w:t>
      </w:r>
      <w:bookmarkEnd w:id="6"/>
    </w:p>
    <w:p w14:paraId="4CEF8E9E" w14:textId="2B3FD356" w:rsidR="00F10A96" w:rsidRPr="00B51B7C" w:rsidRDefault="00005BF1" w:rsidP="00B51B7C">
      <w:pPr>
        <w:spacing w:line="360" w:lineRule="auto"/>
        <w:ind w:firstLineChars="200" w:firstLine="480"/>
        <w:rPr>
          <w:rFonts w:asciiTheme="minorEastAsia" w:hAnsiTheme="minorEastAsia" w:cs="宋体"/>
          <w:kern w:val="0"/>
          <w:sz w:val="24"/>
        </w:rPr>
      </w:pPr>
      <w:r w:rsidRPr="00B51B7C">
        <w:rPr>
          <w:rFonts w:asciiTheme="minorEastAsia" w:hAnsiTheme="minorEastAsia" w:cs="宋体"/>
          <w:kern w:val="0"/>
          <w:sz w:val="24"/>
        </w:rPr>
        <w:t>4</w:t>
      </w:r>
      <w:r w:rsidRPr="00B51B7C">
        <w:rPr>
          <w:rFonts w:asciiTheme="minorEastAsia" w:hAnsiTheme="minorEastAsia" w:cs="宋体" w:hint="eastAsia"/>
          <w:kern w:val="0"/>
          <w:sz w:val="24"/>
        </w:rPr>
        <w:t>、2024年末较上年新增计提存货跌价准备情况如下：</w:t>
      </w:r>
    </w:p>
    <w:p w14:paraId="1D3F1ED0" w14:textId="77777777" w:rsidR="00005BF1" w:rsidRPr="00B51B7C" w:rsidRDefault="00005BF1" w:rsidP="00B51B7C">
      <w:pPr>
        <w:spacing w:line="360" w:lineRule="auto"/>
        <w:jc w:val="right"/>
        <w:rPr>
          <w:rFonts w:asciiTheme="minorEastAsia" w:hAnsiTheme="minorEastAsia"/>
          <w:sz w:val="24"/>
          <w:szCs w:val="28"/>
        </w:rPr>
      </w:pPr>
      <w:r w:rsidRPr="00B51B7C">
        <w:rPr>
          <w:rFonts w:asciiTheme="minorEastAsia" w:hAnsiTheme="minorEastAsia" w:hint="eastAsia"/>
          <w:sz w:val="24"/>
          <w:szCs w:val="28"/>
        </w:rPr>
        <w:t>单位：人民币万元</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103"/>
        <w:gridCol w:w="1209"/>
        <w:gridCol w:w="1033"/>
        <w:gridCol w:w="1106"/>
        <w:gridCol w:w="917"/>
        <w:gridCol w:w="7"/>
        <w:gridCol w:w="1240"/>
      </w:tblGrid>
      <w:tr w:rsidR="00005BF1" w:rsidRPr="00B51B7C" w14:paraId="226C8049" w14:textId="77777777" w:rsidTr="00F01763">
        <w:trPr>
          <w:trHeight w:val="280"/>
          <w:jc w:val="center"/>
        </w:trPr>
        <w:tc>
          <w:tcPr>
            <w:tcW w:w="1749" w:type="dxa"/>
            <w:vMerge w:val="restart"/>
            <w:tcBorders>
              <w:top w:val="single" w:sz="4" w:space="0" w:color="auto"/>
              <w:left w:val="single" w:sz="4" w:space="0" w:color="auto"/>
              <w:bottom w:val="single" w:sz="4" w:space="0" w:color="auto"/>
              <w:right w:val="single" w:sz="4" w:space="0" w:color="auto"/>
            </w:tcBorders>
            <w:noWrap/>
            <w:vAlign w:val="center"/>
            <w:hideMark/>
          </w:tcPr>
          <w:p w14:paraId="198DDC1E"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项目</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2423A78"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期初余额</w:t>
            </w:r>
          </w:p>
        </w:tc>
        <w:tc>
          <w:tcPr>
            <w:tcW w:w="2242" w:type="dxa"/>
            <w:gridSpan w:val="2"/>
            <w:tcBorders>
              <w:top w:val="single" w:sz="4" w:space="0" w:color="auto"/>
              <w:left w:val="single" w:sz="4" w:space="0" w:color="auto"/>
              <w:bottom w:val="single" w:sz="4" w:space="0" w:color="auto"/>
              <w:right w:val="single" w:sz="4" w:space="0" w:color="auto"/>
            </w:tcBorders>
            <w:noWrap/>
            <w:vAlign w:val="center"/>
            <w:hideMark/>
          </w:tcPr>
          <w:p w14:paraId="71CA0A0C"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本期增加</w:t>
            </w:r>
          </w:p>
        </w:tc>
        <w:tc>
          <w:tcPr>
            <w:tcW w:w="2030" w:type="dxa"/>
            <w:gridSpan w:val="3"/>
            <w:tcBorders>
              <w:top w:val="single" w:sz="4" w:space="0" w:color="auto"/>
              <w:left w:val="single" w:sz="4" w:space="0" w:color="auto"/>
              <w:bottom w:val="single" w:sz="4" w:space="0" w:color="auto"/>
              <w:right w:val="single" w:sz="4" w:space="0" w:color="auto"/>
            </w:tcBorders>
            <w:vAlign w:val="center"/>
            <w:hideMark/>
          </w:tcPr>
          <w:p w14:paraId="6EF06352"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本期减少</w:t>
            </w:r>
          </w:p>
        </w:tc>
        <w:tc>
          <w:tcPr>
            <w:tcW w:w="1240" w:type="dxa"/>
            <w:tcBorders>
              <w:top w:val="single" w:sz="4" w:space="0" w:color="auto"/>
              <w:left w:val="single" w:sz="4" w:space="0" w:color="auto"/>
              <w:bottom w:val="single" w:sz="4" w:space="0" w:color="auto"/>
              <w:right w:val="single" w:sz="4" w:space="0" w:color="auto"/>
            </w:tcBorders>
            <w:noWrap/>
            <w:vAlign w:val="center"/>
            <w:hideMark/>
          </w:tcPr>
          <w:p w14:paraId="171F2F76"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期末余额</w:t>
            </w:r>
          </w:p>
        </w:tc>
      </w:tr>
      <w:tr w:rsidR="00005BF1" w:rsidRPr="00B51B7C" w14:paraId="73222F87" w14:textId="77777777" w:rsidTr="00F01763">
        <w:trPr>
          <w:trHeight w:val="280"/>
          <w:jc w:val="center"/>
        </w:trPr>
        <w:tc>
          <w:tcPr>
            <w:tcW w:w="1749" w:type="dxa"/>
            <w:vMerge/>
            <w:tcBorders>
              <w:top w:val="single" w:sz="4" w:space="0" w:color="auto"/>
              <w:left w:val="single" w:sz="4" w:space="0" w:color="auto"/>
              <w:bottom w:val="single" w:sz="4" w:space="0" w:color="auto"/>
              <w:right w:val="single" w:sz="4" w:space="0" w:color="auto"/>
            </w:tcBorders>
            <w:vAlign w:val="center"/>
            <w:hideMark/>
          </w:tcPr>
          <w:p w14:paraId="37822FC3" w14:textId="77777777" w:rsidR="00005BF1" w:rsidRPr="00B51B7C" w:rsidRDefault="00005BF1" w:rsidP="00BF7747">
            <w:pPr>
              <w:widowControl/>
              <w:jc w:val="left"/>
              <w:rPr>
                <w:rFonts w:asciiTheme="minorEastAsia" w:hAnsiTheme="minorEastAsia" w:cs="宋体"/>
                <w:kern w:val="0"/>
                <w:szCs w:val="21"/>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186F0B02" w14:textId="77777777" w:rsidR="00005BF1" w:rsidRPr="00B51B7C" w:rsidRDefault="00005BF1" w:rsidP="00BF7747">
            <w:pPr>
              <w:widowControl/>
              <w:jc w:val="left"/>
              <w:rPr>
                <w:rFonts w:asciiTheme="minorEastAsia" w:hAnsiTheme="minorEastAsia" w:cs="宋体"/>
                <w:kern w:val="0"/>
                <w:szCs w:val="21"/>
              </w:rPr>
            </w:pPr>
          </w:p>
        </w:tc>
        <w:tc>
          <w:tcPr>
            <w:tcW w:w="1209" w:type="dxa"/>
            <w:tcBorders>
              <w:top w:val="single" w:sz="4" w:space="0" w:color="auto"/>
              <w:left w:val="single" w:sz="4" w:space="0" w:color="auto"/>
              <w:bottom w:val="single" w:sz="4" w:space="0" w:color="auto"/>
              <w:right w:val="single" w:sz="4" w:space="0" w:color="auto"/>
            </w:tcBorders>
            <w:noWrap/>
            <w:vAlign w:val="center"/>
            <w:hideMark/>
          </w:tcPr>
          <w:p w14:paraId="770603EB"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计提</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3CD1576A"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其他</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6135FE3"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转销</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0527442"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其他</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2642FE4A" w14:textId="77777777" w:rsidR="00005BF1" w:rsidRPr="00B51B7C" w:rsidRDefault="00005BF1" w:rsidP="00BF7747">
            <w:pPr>
              <w:widowControl/>
              <w:jc w:val="left"/>
              <w:rPr>
                <w:rFonts w:asciiTheme="minorEastAsia" w:hAnsiTheme="minorEastAsia" w:cs="宋体"/>
                <w:kern w:val="0"/>
                <w:szCs w:val="21"/>
              </w:rPr>
            </w:pPr>
          </w:p>
        </w:tc>
      </w:tr>
      <w:tr w:rsidR="00005BF1" w:rsidRPr="00B51B7C" w14:paraId="3076E5BC" w14:textId="77777777" w:rsidTr="00F01763">
        <w:trPr>
          <w:trHeight w:val="280"/>
          <w:jc w:val="center"/>
        </w:trPr>
        <w:tc>
          <w:tcPr>
            <w:tcW w:w="1749" w:type="dxa"/>
            <w:tcBorders>
              <w:top w:val="single" w:sz="4" w:space="0" w:color="auto"/>
              <w:left w:val="single" w:sz="4" w:space="0" w:color="auto"/>
              <w:bottom w:val="single" w:sz="4" w:space="0" w:color="auto"/>
              <w:right w:val="single" w:sz="4" w:space="0" w:color="auto"/>
            </w:tcBorders>
            <w:noWrap/>
            <w:vAlign w:val="center"/>
            <w:hideMark/>
          </w:tcPr>
          <w:p w14:paraId="0186354C"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原材料</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4B763C7"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265.66</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A7B817D"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1,949.49</w:t>
            </w:r>
          </w:p>
        </w:tc>
        <w:tc>
          <w:tcPr>
            <w:tcW w:w="1033" w:type="dxa"/>
            <w:tcBorders>
              <w:top w:val="single" w:sz="4" w:space="0" w:color="auto"/>
              <w:left w:val="single" w:sz="4" w:space="0" w:color="auto"/>
              <w:bottom w:val="single" w:sz="4" w:space="0" w:color="auto"/>
              <w:right w:val="single" w:sz="4" w:space="0" w:color="auto"/>
            </w:tcBorders>
            <w:vAlign w:val="center"/>
            <w:hideMark/>
          </w:tcPr>
          <w:p w14:paraId="4F238697"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58.55</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0EF3FD9"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119.71</w:t>
            </w:r>
          </w:p>
        </w:tc>
        <w:tc>
          <w:tcPr>
            <w:tcW w:w="917" w:type="dxa"/>
            <w:tcBorders>
              <w:top w:val="single" w:sz="4" w:space="0" w:color="auto"/>
              <w:left w:val="single" w:sz="4" w:space="0" w:color="auto"/>
              <w:bottom w:val="single" w:sz="4" w:space="0" w:color="auto"/>
              <w:right w:val="single" w:sz="4" w:space="0" w:color="auto"/>
            </w:tcBorders>
            <w:vAlign w:val="center"/>
            <w:hideMark/>
          </w:tcPr>
          <w:p w14:paraId="15713E61"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136.76</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3472BAD9"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2,017.24</w:t>
            </w:r>
          </w:p>
        </w:tc>
      </w:tr>
      <w:tr w:rsidR="00005BF1" w:rsidRPr="00B51B7C" w14:paraId="5EBA3243" w14:textId="77777777" w:rsidTr="00F01763">
        <w:trPr>
          <w:trHeight w:val="280"/>
          <w:jc w:val="center"/>
        </w:trPr>
        <w:tc>
          <w:tcPr>
            <w:tcW w:w="1749" w:type="dxa"/>
            <w:tcBorders>
              <w:top w:val="single" w:sz="4" w:space="0" w:color="auto"/>
              <w:left w:val="single" w:sz="4" w:space="0" w:color="auto"/>
              <w:bottom w:val="single" w:sz="4" w:space="0" w:color="auto"/>
              <w:right w:val="single" w:sz="4" w:space="0" w:color="auto"/>
            </w:tcBorders>
            <w:noWrap/>
            <w:vAlign w:val="center"/>
            <w:hideMark/>
          </w:tcPr>
          <w:p w14:paraId="5C581B09"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低值易耗品</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121BE2"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40C4915B"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0.41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50092B3F"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ACCEBE7"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hideMark/>
          </w:tcPr>
          <w:p w14:paraId="7282B27D"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0.41</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1B0660BF"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0.00　</w:t>
            </w:r>
          </w:p>
        </w:tc>
      </w:tr>
      <w:tr w:rsidR="00005BF1" w:rsidRPr="00B51B7C" w14:paraId="4AFD0B08" w14:textId="77777777" w:rsidTr="00F01763">
        <w:trPr>
          <w:trHeight w:val="280"/>
          <w:jc w:val="center"/>
        </w:trPr>
        <w:tc>
          <w:tcPr>
            <w:tcW w:w="1749" w:type="dxa"/>
            <w:tcBorders>
              <w:top w:val="single" w:sz="4" w:space="0" w:color="auto"/>
              <w:left w:val="single" w:sz="4" w:space="0" w:color="auto"/>
              <w:bottom w:val="single" w:sz="4" w:space="0" w:color="auto"/>
              <w:right w:val="single" w:sz="4" w:space="0" w:color="auto"/>
            </w:tcBorders>
            <w:noWrap/>
            <w:vAlign w:val="center"/>
            <w:hideMark/>
          </w:tcPr>
          <w:p w14:paraId="28271AFE"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在产品</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F435644"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39.16</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551604B"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124.31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DE8052C"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91B405A"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39.16</w:t>
            </w:r>
          </w:p>
        </w:tc>
        <w:tc>
          <w:tcPr>
            <w:tcW w:w="917" w:type="dxa"/>
            <w:tcBorders>
              <w:top w:val="single" w:sz="4" w:space="0" w:color="auto"/>
              <w:left w:val="single" w:sz="4" w:space="0" w:color="auto"/>
              <w:bottom w:val="single" w:sz="4" w:space="0" w:color="auto"/>
              <w:right w:val="single" w:sz="4" w:space="0" w:color="auto"/>
            </w:tcBorders>
            <w:vAlign w:val="center"/>
            <w:hideMark/>
          </w:tcPr>
          <w:p w14:paraId="65808E97"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0FEB2527"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124.31</w:t>
            </w:r>
          </w:p>
        </w:tc>
      </w:tr>
      <w:tr w:rsidR="00005BF1" w:rsidRPr="00B51B7C" w14:paraId="7EE9ED07" w14:textId="77777777" w:rsidTr="00F01763">
        <w:trPr>
          <w:trHeight w:val="280"/>
          <w:jc w:val="center"/>
        </w:trPr>
        <w:tc>
          <w:tcPr>
            <w:tcW w:w="1749" w:type="dxa"/>
            <w:tcBorders>
              <w:top w:val="single" w:sz="4" w:space="0" w:color="auto"/>
              <w:left w:val="single" w:sz="4" w:space="0" w:color="auto"/>
              <w:bottom w:val="single" w:sz="4" w:space="0" w:color="auto"/>
              <w:right w:val="single" w:sz="4" w:space="0" w:color="auto"/>
            </w:tcBorders>
            <w:noWrap/>
            <w:vAlign w:val="center"/>
            <w:hideMark/>
          </w:tcPr>
          <w:p w14:paraId="689CFEC8"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库存商品</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9E7266E"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2,162.54</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3BA39C1"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1,459.17</w:t>
            </w:r>
          </w:p>
        </w:tc>
        <w:tc>
          <w:tcPr>
            <w:tcW w:w="1033" w:type="dxa"/>
            <w:tcBorders>
              <w:top w:val="single" w:sz="4" w:space="0" w:color="auto"/>
              <w:left w:val="single" w:sz="4" w:space="0" w:color="auto"/>
              <w:bottom w:val="single" w:sz="4" w:space="0" w:color="auto"/>
              <w:right w:val="single" w:sz="4" w:space="0" w:color="auto"/>
            </w:tcBorders>
            <w:vAlign w:val="center"/>
            <w:hideMark/>
          </w:tcPr>
          <w:p w14:paraId="7A467B40"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1.12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CF333CB"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995.47</w:t>
            </w:r>
          </w:p>
        </w:tc>
        <w:tc>
          <w:tcPr>
            <w:tcW w:w="917" w:type="dxa"/>
            <w:tcBorders>
              <w:top w:val="single" w:sz="4" w:space="0" w:color="auto"/>
              <w:left w:val="single" w:sz="4" w:space="0" w:color="auto"/>
              <w:bottom w:val="single" w:sz="4" w:space="0" w:color="auto"/>
              <w:right w:val="single" w:sz="4" w:space="0" w:color="auto"/>
            </w:tcBorders>
            <w:vAlign w:val="center"/>
            <w:hideMark/>
          </w:tcPr>
          <w:p w14:paraId="1916E22B"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110.22</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1DEF42FF"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2,517.14</w:t>
            </w:r>
          </w:p>
        </w:tc>
      </w:tr>
      <w:tr w:rsidR="00005BF1" w:rsidRPr="00B51B7C" w14:paraId="7F5A87BD" w14:textId="77777777" w:rsidTr="00F01763">
        <w:trPr>
          <w:trHeight w:val="280"/>
          <w:jc w:val="center"/>
        </w:trPr>
        <w:tc>
          <w:tcPr>
            <w:tcW w:w="1749" w:type="dxa"/>
            <w:tcBorders>
              <w:top w:val="single" w:sz="4" w:space="0" w:color="auto"/>
              <w:left w:val="single" w:sz="4" w:space="0" w:color="auto"/>
              <w:bottom w:val="single" w:sz="4" w:space="0" w:color="auto"/>
              <w:right w:val="single" w:sz="4" w:space="0" w:color="auto"/>
            </w:tcBorders>
            <w:noWrap/>
            <w:vAlign w:val="center"/>
            <w:hideMark/>
          </w:tcPr>
          <w:p w14:paraId="6F370ED1"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电站开发产品</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E4049B5"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3,419.68</w:t>
            </w:r>
          </w:p>
        </w:tc>
        <w:tc>
          <w:tcPr>
            <w:tcW w:w="1209" w:type="dxa"/>
            <w:tcBorders>
              <w:top w:val="single" w:sz="4" w:space="0" w:color="auto"/>
              <w:left w:val="single" w:sz="4" w:space="0" w:color="auto"/>
              <w:bottom w:val="single" w:sz="4" w:space="0" w:color="auto"/>
              <w:right w:val="single" w:sz="4" w:space="0" w:color="auto"/>
            </w:tcBorders>
            <w:vAlign w:val="center"/>
            <w:hideMark/>
          </w:tcPr>
          <w:p w14:paraId="7358803D"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6,074.68</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53C9C0C"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13B43D0"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hideMark/>
          </w:tcPr>
          <w:p w14:paraId="79A55907"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575552E9"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9,494.36</w:t>
            </w:r>
          </w:p>
        </w:tc>
      </w:tr>
      <w:tr w:rsidR="00005BF1" w:rsidRPr="00B51B7C" w14:paraId="6AAA369A" w14:textId="77777777" w:rsidTr="00F01763">
        <w:trPr>
          <w:trHeight w:val="280"/>
          <w:jc w:val="center"/>
        </w:trPr>
        <w:tc>
          <w:tcPr>
            <w:tcW w:w="1749" w:type="dxa"/>
            <w:tcBorders>
              <w:top w:val="single" w:sz="4" w:space="0" w:color="auto"/>
              <w:left w:val="single" w:sz="4" w:space="0" w:color="auto"/>
              <w:bottom w:val="single" w:sz="4" w:space="0" w:color="auto"/>
              <w:right w:val="single" w:sz="4" w:space="0" w:color="auto"/>
            </w:tcBorders>
            <w:noWrap/>
            <w:vAlign w:val="center"/>
            <w:hideMark/>
          </w:tcPr>
          <w:p w14:paraId="4F16485C" w14:textId="77777777" w:rsidR="00005BF1" w:rsidRPr="00B51B7C" w:rsidRDefault="00005BF1"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电站开发成本</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4E2BE13"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2,061.44</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9A2B1C6"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122.44</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18ACEB9"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5.73</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5296839"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hideMark/>
          </w:tcPr>
          <w:p w14:paraId="40902474"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 xml:space="preserve">　</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74D3567F" w14:textId="77777777" w:rsidR="00005BF1" w:rsidRPr="00B51B7C" w:rsidRDefault="00005BF1" w:rsidP="00BF7747">
            <w:pPr>
              <w:widowControl/>
              <w:jc w:val="right"/>
              <w:rPr>
                <w:rFonts w:asciiTheme="minorEastAsia" w:hAnsiTheme="minorEastAsia" w:cs="Arial"/>
                <w:kern w:val="0"/>
                <w:szCs w:val="21"/>
              </w:rPr>
            </w:pPr>
            <w:r w:rsidRPr="00B51B7C">
              <w:rPr>
                <w:rFonts w:asciiTheme="minorEastAsia" w:hAnsiTheme="minorEastAsia" w:cs="Arial" w:hint="eastAsia"/>
                <w:kern w:val="0"/>
                <w:szCs w:val="21"/>
              </w:rPr>
              <w:t>2,189.61</w:t>
            </w:r>
          </w:p>
        </w:tc>
      </w:tr>
      <w:tr w:rsidR="00005BF1" w:rsidRPr="00B51B7C" w14:paraId="7A949484" w14:textId="77777777" w:rsidTr="00F01763">
        <w:trPr>
          <w:trHeight w:val="290"/>
          <w:jc w:val="center"/>
        </w:trPr>
        <w:tc>
          <w:tcPr>
            <w:tcW w:w="1749" w:type="dxa"/>
            <w:tcBorders>
              <w:top w:val="single" w:sz="4" w:space="0" w:color="auto"/>
              <w:left w:val="single" w:sz="4" w:space="0" w:color="auto"/>
              <w:bottom w:val="single" w:sz="4" w:space="0" w:color="auto"/>
              <w:right w:val="single" w:sz="4" w:space="0" w:color="auto"/>
            </w:tcBorders>
            <w:noWrap/>
            <w:vAlign w:val="center"/>
            <w:hideMark/>
          </w:tcPr>
          <w:p w14:paraId="1EFDA483"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合计</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39D0505" w14:textId="77777777" w:rsidR="00005BF1" w:rsidRPr="00B51B7C" w:rsidRDefault="00005BF1" w:rsidP="00BF7747">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7,948.49</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9D6329C" w14:textId="77777777" w:rsidR="00005BF1" w:rsidRPr="00B51B7C" w:rsidRDefault="00005BF1" w:rsidP="00BF7747">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9,730.51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9606170" w14:textId="77777777" w:rsidR="00005BF1" w:rsidRPr="00B51B7C" w:rsidRDefault="00005BF1" w:rsidP="00BF7747">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65.39</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186EC91" w14:textId="77777777" w:rsidR="00005BF1" w:rsidRPr="00B51B7C" w:rsidRDefault="00005BF1" w:rsidP="00BF7747">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1,154.33</w:t>
            </w:r>
          </w:p>
        </w:tc>
        <w:tc>
          <w:tcPr>
            <w:tcW w:w="917" w:type="dxa"/>
            <w:tcBorders>
              <w:top w:val="single" w:sz="4" w:space="0" w:color="auto"/>
              <w:left w:val="single" w:sz="4" w:space="0" w:color="auto"/>
              <w:bottom w:val="single" w:sz="4" w:space="0" w:color="auto"/>
              <w:right w:val="single" w:sz="4" w:space="0" w:color="auto"/>
            </w:tcBorders>
            <w:vAlign w:val="center"/>
            <w:hideMark/>
          </w:tcPr>
          <w:p w14:paraId="202E3937" w14:textId="77777777" w:rsidR="00005BF1" w:rsidRPr="00B51B7C" w:rsidRDefault="00005BF1" w:rsidP="00BF7747">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247.39</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2855B1D9" w14:textId="77777777" w:rsidR="00005BF1" w:rsidRPr="00B51B7C" w:rsidRDefault="00005BF1" w:rsidP="00BF7747">
            <w:pPr>
              <w:widowControl/>
              <w:jc w:val="right"/>
              <w:rPr>
                <w:rFonts w:asciiTheme="minorEastAsia" w:hAnsiTheme="minorEastAsia" w:cs="Arial"/>
                <w:b/>
                <w:bCs/>
                <w:kern w:val="0"/>
                <w:szCs w:val="21"/>
              </w:rPr>
            </w:pPr>
            <w:r w:rsidRPr="00B51B7C">
              <w:rPr>
                <w:rFonts w:asciiTheme="minorEastAsia" w:hAnsiTheme="minorEastAsia" w:cs="Arial" w:hint="eastAsia"/>
                <w:b/>
                <w:bCs/>
                <w:kern w:val="0"/>
                <w:szCs w:val="21"/>
              </w:rPr>
              <w:t>16,342.66</w:t>
            </w:r>
          </w:p>
        </w:tc>
      </w:tr>
    </w:tbl>
    <w:p w14:paraId="6903AC22" w14:textId="2A157304" w:rsidR="00B51B7C" w:rsidRDefault="00B51B7C">
      <w:pPr>
        <w:widowControl/>
        <w:jc w:val="left"/>
        <w:rPr>
          <w:rFonts w:asciiTheme="minorEastAsia" w:hAnsiTheme="minorEastAsia" w:cs="Arial"/>
          <w:sz w:val="24"/>
        </w:rPr>
      </w:pPr>
    </w:p>
    <w:p w14:paraId="13EA2FCE" w14:textId="77777777" w:rsidR="00B51B7C" w:rsidRDefault="00B51B7C">
      <w:pPr>
        <w:widowControl/>
        <w:jc w:val="left"/>
        <w:rPr>
          <w:rFonts w:asciiTheme="minorEastAsia" w:hAnsiTheme="minorEastAsia" w:cs="Arial"/>
          <w:sz w:val="24"/>
        </w:rPr>
      </w:pPr>
      <w:r>
        <w:rPr>
          <w:rFonts w:asciiTheme="minorEastAsia" w:hAnsiTheme="minorEastAsia" w:cs="Arial"/>
          <w:sz w:val="24"/>
        </w:rPr>
        <w:br w:type="page"/>
      </w:r>
    </w:p>
    <w:p w14:paraId="31127F1F" w14:textId="42B70A13" w:rsidR="00005BF1" w:rsidRPr="00B51B7C" w:rsidRDefault="00005BF1" w:rsidP="003C6F37">
      <w:pPr>
        <w:tabs>
          <w:tab w:val="left" w:pos="0"/>
          <w:tab w:val="left" w:pos="720"/>
        </w:tabs>
        <w:autoSpaceDE w:val="0"/>
        <w:autoSpaceDN w:val="0"/>
        <w:snapToGrid w:val="0"/>
        <w:spacing w:line="360" w:lineRule="exact"/>
        <w:textAlignment w:val="bottom"/>
        <w:rPr>
          <w:rFonts w:asciiTheme="minorEastAsia" w:hAnsiTheme="minorEastAsia" w:cs="Arial"/>
          <w:sz w:val="24"/>
        </w:rPr>
      </w:pPr>
      <w:r w:rsidRPr="00B51B7C">
        <w:rPr>
          <w:rFonts w:asciiTheme="minorEastAsia" w:hAnsiTheme="minorEastAsia" w:cs="Arial" w:hint="eastAsia"/>
          <w:sz w:val="24"/>
        </w:rPr>
        <w:lastRenderedPageBreak/>
        <w:t>按业务板块划分存货跌价准备情况如下：</w:t>
      </w:r>
    </w:p>
    <w:p w14:paraId="5F8BF4F5" w14:textId="77777777" w:rsidR="003C6F37" w:rsidRPr="00B51B7C" w:rsidRDefault="003C6F37" w:rsidP="003C6F37">
      <w:pPr>
        <w:spacing w:afterLines="50" w:after="156" w:line="360" w:lineRule="auto"/>
        <w:jc w:val="right"/>
        <w:rPr>
          <w:rFonts w:asciiTheme="minorEastAsia" w:hAnsiTheme="minorEastAsia"/>
          <w:sz w:val="24"/>
          <w:szCs w:val="28"/>
        </w:rPr>
      </w:pPr>
      <w:r w:rsidRPr="00B51B7C">
        <w:rPr>
          <w:rFonts w:asciiTheme="minorEastAsia" w:hAnsiTheme="minorEastAsia" w:hint="eastAsia"/>
          <w:sz w:val="24"/>
          <w:szCs w:val="28"/>
        </w:rPr>
        <w:t>单位：人民币万元</w:t>
      </w:r>
    </w:p>
    <w:tbl>
      <w:tblPr>
        <w:tblW w:w="10241" w:type="dxa"/>
        <w:jc w:val="center"/>
        <w:tblLook w:val="04A0" w:firstRow="1" w:lastRow="0" w:firstColumn="1" w:lastColumn="0" w:noHBand="0" w:noVBand="1"/>
      </w:tblPr>
      <w:tblGrid>
        <w:gridCol w:w="1555"/>
        <w:gridCol w:w="1169"/>
        <w:gridCol w:w="1238"/>
        <w:gridCol w:w="1101"/>
        <w:gridCol w:w="1169"/>
        <w:gridCol w:w="1063"/>
        <w:gridCol w:w="1137"/>
        <w:gridCol w:w="1063"/>
        <w:gridCol w:w="746"/>
      </w:tblGrid>
      <w:tr w:rsidR="00005BF1" w:rsidRPr="00B51B7C" w14:paraId="0F6FA36E" w14:textId="77777777" w:rsidTr="003C6F37">
        <w:trPr>
          <w:trHeight w:val="383"/>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14:paraId="74DD072C"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项  目</w:t>
            </w:r>
          </w:p>
        </w:tc>
        <w:tc>
          <w:tcPr>
            <w:tcW w:w="3508" w:type="dxa"/>
            <w:gridSpan w:val="3"/>
            <w:tcBorders>
              <w:top w:val="single" w:sz="4" w:space="0" w:color="auto"/>
              <w:left w:val="nil"/>
              <w:bottom w:val="single" w:sz="4" w:space="0" w:color="auto"/>
              <w:right w:val="single" w:sz="4" w:space="0" w:color="auto"/>
            </w:tcBorders>
            <w:noWrap/>
            <w:vAlign w:val="center"/>
            <w:hideMark/>
          </w:tcPr>
          <w:p w14:paraId="5E691EFD"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2024年末</w:t>
            </w:r>
          </w:p>
        </w:tc>
        <w:tc>
          <w:tcPr>
            <w:tcW w:w="3369" w:type="dxa"/>
            <w:gridSpan w:val="3"/>
            <w:tcBorders>
              <w:top w:val="single" w:sz="4" w:space="0" w:color="auto"/>
              <w:left w:val="nil"/>
              <w:bottom w:val="single" w:sz="4" w:space="0" w:color="auto"/>
              <w:right w:val="single" w:sz="4" w:space="0" w:color="auto"/>
            </w:tcBorders>
            <w:noWrap/>
            <w:vAlign w:val="center"/>
            <w:hideMark/>
          </w:tcPr>
          <w:p w14:paraId="01D6C16E"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2023年末</w:t>
            </w:r>
          </w:p>
        </w:tc>
        <w:tc>
          <w:tcPr>
            <w:tcW w:w="1060" w:type="dxa"/>
            <w:vMerge w:val="restart"/>
            <w:tcBorders>
              <w:top w:val="single" w:sz="4" w:space="0" w:color="auto"/>
              <w:left w:val="nil"/>
              <w:right w:val="single" w:sz="4" w:space="0" w:color="auto"/>
            </w:tcBorders>
            <w:vAlign w:val="center"/>
          </w:tcPr>
          <w:p w14:paraId="26C7538F"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存货跌价准备同比增减</w:t>
            </w:r>
          </w:p>
        </w:tc>
        <w:tc>
          <w:tcPr>
            <w:tcW w:w="749" w:type="dxa"/>
            <w:vMerge w:val="restart"/>
            <w:tcBorders>
              <w:top w:val="single" w:sz="4" w:space="0" w:color="auto"/>
              <w:left w:val="nil"/>
              <w:right w:val="single" w:sz="4" w:space="0" w:color="auto"/>
            </w:tcBorders>
            <w:vAlign w:val="center"/>
          </w:tcPr>
          <w:p w14:paraId="47DD4A13" w14:textId="77777777" w:rsidR="00005BF1" w:rsidRPr="00B51B7C" w:rsidRDefault="00005BF1" w:rsidP="00BF7747">
            <w:pPr>
              <w:rPr>
                <w:rFonts w:asciiTheme="minorEastAsia" w:hAnsiTheme="minorEastAsia" w:cs="宋体"/>
                <w:b/>
                <w:bCs/>
                <w:kern w:val="0"/>
                <w:szCs w:val="21"/>
              </w:rPr>
            </w:pPr>
            <w:r w:rsidRPr="00B51B7C">
              <w:rPr>
                <w:rFonts w:asciiTheme="minorEastAsia" w:hAnsiTheme="minorEastAsia" w:cs="宋体" w:hint="eastAsia"/>
                <w:b/>
                <w:bCs/>
                <w:kern w:val="0"/>
                <w:szCs w:val="21"/>
              </w:rPr>
              <w:t>备注</w:t>
            </w:r>
          </w:p>
        </w:tc>
      </w:tr>
      <w:tr w:rsidR="00005BF1" w:rsidRPr="00B51B7C" w14:paraId="4EF97AB5" w14:textId="77777777" w:rsidTr="003C6F37">
        <w:trPr>
          <w:trHeight w:val="44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8DD7559" w14:textId="77777777" w:rsidR="00005BF1" w:rsidRPr="00B51B7C" w:rsidRDefault="00005BF1" w:rsidP="00BF7747">
            <w:pPr>
              <w:widowControl/>
              <w:jc w:val="left"/>
              <w:rPr>
                <w:rFonts w:asciiTheme="minorEastAsia" w:hAnsiTheme="minorEastAsia" w:cs="宋体"/>
                <w:b/>
                <w:bCs/>
                <w:kern w:val="0"/>
                <w:szCs w:val="21"/>
              </w:rPr>
            </w:pPr>
          </w:p>
        </w:tc>
        <w:tc>
          <w:tcPr>
            <w:tcW w:w="1169" w:type="dxa"/>
            <w:tcBorders>
              <w:top w:val="nil"/>
              <w:left w:val="nil"/>
              <w:bottom w:val="single" w:sz="4" w:space="0" w:color="auto"/>
              <w:right w:val="single" w:sz="4" w:space="0" w:color="auto"/>
            </w:tcBorders>
            <w:noWrap/>
            <w:vAlign w:val="center"/>
            <w:hideMark/>
          </w:tcPr>
          <w:p w14:paraId="72EBAE9F"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账面余额</w:t>
            </w:r>
          </w:p>
        </w:tc>
        <w:tc>
          <w:tcPr>
            <w:tcW w:w="1238" w:type="dxa"/>
            <w:tcBorders>
              <w:top w:val="nil"/>
              <w:left w:val="nil"/>
              <w:bottom w:val="single" w:sz="4" w:space="0" w:color="auto"/>
              <w:right w:val="single" w:sz="4" w:space="0" w:color="auto"/>
            </w:tcBorders>
            <w:noWrap/>
            <w:vAlign w:val="center"/>
            <w:hideMark/>
          </w:tcPr>
          <w:p w14:paraId="5696FB0D"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存货跌价准备</w:t>
            </w:r>
          </w:p>
        </w:tc>
        <w:tc>
          <w:tcPr>
            <w:tcW w:w="1099" w:type="dxa"/>
            <w:tcBorders>
              <w:top w:val="nil"/>
              <w:left w:val="nil"/>
              <w:bottom w:val="single" w:sz="4" w:space="0" w:color="auto"/>
              <w:right w:val="single" w:sz="4" w:space="0" w:color="auto"/>
            </w:tcBorders>
            <w:noWrap/>
            <w:vAlign w:val="center"/>
            <w:hideMark/>
          </w:tcPr>
          <w:p w14:paraId="792A1423"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计提比例</w:t>
            </w:r>
          </w:p>
        </w:tc>
        <w:tc>
          <w:tcPr>
            <w:tcW w:w="1169" w:type="dxa"/>
            <w:tcBorders>
              <w:top w:val="nil"/>
              <w:left w:val="nil"/>
              <w:bottom w:val="single" w:sz="4" w:space="0" w:color="auto"/>
              <w:right w:val="single" w:sz="4" w:space="0" w:color="auto"/>
            </w:tcBorders>
            <w:noWrap/>
            <w:vAlign w:val="center"/>
            <w:hideMark/>
          </w:tcPr>
          <w:p w14:paraId="5E536A90"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账面余额</w:t>
            </w:r>
          </w:p>
        </w:tc>
        <w:tc>
          <w:tcPr>
            <w:tcW w:w="1063" w:type="dxa"/>
            <w:tcBorders>
              <w:top w:val="nil"/>
              <w:left w:val="nil"/>
              <w:bottom w:val="single" w:sz="4" w:space="0" w:color="auto"/>
              <w:right w:val="single" w:sz="4" w:space="0" w:color="auto"/>
            </w:tcBorders>
            <w:noWrap/>
            <w:vAlign w:val="center"/>
            <w:hideMark/>
          </w:tcPr>
          <w:p w14:paraId="412C0D39"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存货跌价准备</w:t>
            </w:r>
          </w:p>
        </w:tc>
        <w:tc>
          <w:tcPr>
            <w:tcW w:w="1137" w:type="dxa"/>
            <w:tcBorders>
              <w:top w:val="nil"/>
              <w:left w:val="nil"/>
              <w:bottom w:val="single" w:sz="4" w:space="0" w:color="auto"/>
              <w:right w:val="single" w:sz="4" w:space="0" w:color="auto"/>
            </w:tcBorders>
            <w:noWrap/>
            <w:vAlign w:val="center"/>
            <w:hideMark/>
          </w:tcPr>
          <w:p w14:paraId="520427A9" w14:textId="77777777" w:rsidR="00005BF1" w:rsidRPr="00B51B7C" w:rsidRDefault="00005BF1"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计提比例</w:t>
            </w:r>
          </w:p>
        </w:tc>
        <w:tc>
          <w:tcPr>
            <w:tcW w:w="1060" w:type="dxa"/>
            <w:vMerge/>
            <w:tcBorders>
              <w:left w:val="nil"/>
              <w:bottom w:val="single" w:sz="4" w:space="0" w:color="auto"/>
              <w:right w:val="single" w:sz="4" w:space="0" w:color="auto"/>
            </w:tcBorders>
            <w:vAlign w:val="center"/>
          </w:tcPr>
          <w:p w14:paraId="04726414" w14:textId="77777777" w:rsidR="00005BF1" w:rsidRPr="00B51B7C" w:rsidRDefault="00005BF1" w:rsidP="00BF7747">
            <w:pPr>
              <w:widowControl/>
              <w:jc w:val="center"/>
              <w:rPr>
                <w:rFonts w:asciiTheme="minorEastAsia" w:hAnsiTheme="minorEastAsia" w:cs="宋体"/>
                <w:b/>
                <w:bCs/>
                <w:kern w:val="0"/>
                <w:szCs w:val="21"/>
              </w:rPr>
            </w:pPr>
          </w:p>
        </w:tc>
        <w:tc>
          <w:tcPr>
            <w:tcW w:w="749" w:type="dxa"/>
            <w:vMerge/>
            <w:tcBorders>
              <w:left w:val="nil"/>
              <w:bottom w:val="single" w:sz="4" w:space="0" w:color="auto"/>
              <w:right w:val="single" w:sz="4" w:space="0" w:color="auto"/>
            </w:tcBorders>
            <w:vAlign w:val="center"/>
          </w:tcPr>
          <w:p w14:paraId="3375F309" w14:textId="77777777" w:rsidR="00005BF1" w:rsidRPr="00B51B7C" w:rsidRDefault="00005BF1" w:rsidP="00BF7747">
            <w:pPr>
              <w:widowControl/>
              <w:rPr>
                <w:rFonts w:asciiTheme="minorEastAsia" w:hAnsiTheme="minorEastAsia" w:cs="宋体"/>
                <w:b/>
                <w:bCs/>
                <w:kern w:val="0"/>
                <w:szCs w:val="21"/>
              </w:rPr>
            </w:pPr>
          </w:p>
        </w:tc>
      </w:tr>
      <w:tr w:rsidR="008A4A69" w:rsidRPr="00B51B7C" w14:paraId="4E19BC5F" w14:textId="77777777" w:rsidTr="003C6F37">
        <w:trPr>
          <w:trHeight w:val="280"/>
          <w:jc w:val="center"/>
        </w:trPr>
        <w:tc>
          <w:tcPr>
            <w:tcW w:w="1555" w:type="dxa"/>
            <w:tcBorders>
              <w:top w:val="nil"/>
              <w:left w:val="single" w:sz="4" w:space="0" w:color="auto"/>
              <w:bottom w:val="single" w:sz="4" w:space="0" w:color="auto"/>
              <w:right w:val="single" w:sz="4" w:space="0" w:color="auto"/>
            </w:tcBorders>
            <w:noWrap/>
            <w:vAlign w:val="center"/>
            <w:hideMark/>
          </w:tcPr>
          <w:p w14:paraId="53E554CF"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线缆产成品、原材料等</w:t>
            </w:r>
          </w:p>
        </w:tc>
        <w:tc>
          <w:tcPr>
            <w:tcW w:w="1169" w:type="dxa"/>
            <w:tcBorders>
              <w:top w:val="nil"/>
              <w:left w:val="nil"/>
              <w:bottom w:val="single" w:sz="4" w:space="0" w:color="auto"/>
              <w:right w:val="single" w:sz="4" w:space="0" w:color="auto"/>
            </w:tcBorders>
            <w:noWrap/>
            <w:vAlign w:val="center"/>
            <w:hideMark/>
          </w:tcPr>
          <w:p w14:paraId="1FF367FC"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28,403.94</w:t>
            </w:r>
          </w:p>
        </w:tc>
        <w:tc>
          <w:tcPr>
            <w:tcW w:w="1238" w:type="dxa"/>
            <w:tcBorders>
              <w:top w:val="nil"/>
              <w:left w:val="nil"/>
              <w:bottom w:val="single" w:sz="4" w:space="0" w:color="auto"/>
              <w:right w:val="single" w:sz="4" w:space="0" w:color="auto"/>
            </w:tcBorders>
            <w:noWrap/>
            <w:vAlign w:val="center"/>
            <w:hideMark/>
          </w:tcPr>
          <w:p w14:paraId="57E8FFC5"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3,001.80</w:t>
            </w:r>
          </w:p>
        </w:tc>
        <w:tc>
          <w:tcPr>
            <w:tcW w:w="1099" w:type="dxa"/>
            <w:tcBorders>
              <w:top w:val="nil"/>
              <w:left w:val="nil"/>
              <w:bottom w:val="single" w:sz="4" w:space="0" w:color="auto"/>
              <w:right w:val="single" w:sz="4" w:space="0" w:color="auto"/>
            </w:tcBorders>
            <w:noWrap/>
            <w:vAlign w:val="center"/>
            <w:hideMark/>
          </w:tcPr>
          <w:p w14:paraId="20A8FE83"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10.57%</w:t>
            </w:r>
          </w:p>
        </w:tc>
        <w:tc>
          <w:tcPr>
            <w:tcW w:w="1169" w:type="dxa"/>
            <w:tcBorders>
              <w:top w:val="nil"/>
              <w:left w:val="nil"/>
              <w:bottom w:val="single" w:sz="4" w:space="0" w:color="auto"/>
              <w:right w:val="single" w:sz="4" w:space="0" w:color="auto"/>
            </w:tcBorders>
            <w:noWrap/>
            <w:vAlign w:val="center"/>
            <w:hideMark/>
          </w:tcPr>
          <w:p w14:paraId="0E38A82E"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29,126.04</w:t>
            </w:r>
          </w:p>
        </w:tc>
        <w:tc>
          <w:tcPr>
            <w:tcW w:w="1063" w:type="dxa"/>
            <w:tcBorders>
              <w:top w:val="nil"/>
              <w:left w:val="nil"/>
              <w:bottom w:val="single" w:sz="4" w:space="0" w:color="auto"/>
              <w:right w:val="single" w:sz="4" w:space="0" w:color="auto"/>
            </w:tcBorders>
            <w:noWrap/>
            <w:vAlign w:val="center"/>
            <w:hideMark/>
          </w:tcPr>
          <w:p w14:paraId="2E98B638"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2,056.94</w:t>
            </w:r>
          </w:p>
        </w:tc>
        <w:tc>
          <w:tcPr>
            <w:tcW w:w="1137" w:type="dxa"/>
            <w:tcBorders>
              <w:top w:val="nil"/>
              <w:left w:val="nil"/>
              <w:bottom w:val="single" w:sz="4" w:space="0" w:color="auto"/>
              <w:right w:val="single" w:sz="4" w:space="0" w:color="auto"/>
            </w:tcBorders>
            <w:noWrap/>
            <w:vAlign w:val="center"/>
            <w:hideMark/>
          </w:tcPr>
          <w:p w14:paraId="33933D17"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7.06%</w:t>
            </w:r>
          </w:p>
        </w:tc>
        <w:tc>
          <w:tcPr>
            <w:tcW w:w="1060" w:type="dxa"/>
            <w:tcBorders>
              <w:top w:val="nil"/>
              <w:left w:val="nil"/>
              <w:bottom w:val="single" w:sz="4" w:space="0" w:color="auto"/>
              <w:right w:val="single" w:sz="4" w:space="0" w:color="auto"/>
            </w:tcBorders>
            <w:vAlign w:val="center"/>
          </w:tcPr>
          <w:p w14:paraId="329B5E6B" w14:textId="021AFA80"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olor w:val="000000"/>
                <w:szCs w:val="21"/>
              </w:rPr>
              <w:t>944.86</w:t>
            </w:r>
          </w:p>
        </w:tc>
        <w:tc>
          <w:tcPr>
            <w:tcW w:w="749" w:type="dxa"/>
            <w:tcBorders>
              <w:top w:val="nil"/>
              <w:left w:val="nil"/>
              <w:bottom w:val="single" w:sz="4" w:space="0" w:color="auto"/>
              <w:right w:val="single" w:sz="4" w:space="0" w:color="auto"/>
            </w:tcBorders>
            <w:vAlign w:val="center"/>
          </w:tcPr>
          <w:p w14:paraId="0D81F828"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注1</w:t>
            </w:r>
          </w:p>
        </w:tc>
      </w:tr>
      <w:tr w:rsidR="008A4A69" w:rsidRPr="00B51B7C" w14:paraId="63F214D1" w14:textId="77777777" w:rsidTr="003C6F37">
        <w:trPr>
          <w:trHeight w:val="280"/>
          <w:jc w:val="center"/>
        </w:trPr>
        <w:tc>
          <w:tcPr>
            <w:tcW w:w="1555" w:type="dxa"/>
            <w:tcBorders>
              <w:top w:val="nil"/>
              <w:left w:val="single" w:sz="4" w:space="0" w:color="auto"/>
              <w:bottom w:val="single" w:sz="4" w:space="0" w:color="auto"/>
              <w:right w:val="single" w:sz="4" w:space="0" w:color="auto"/>
            </w:tcBorders>
            <w:noWrap/>
            <w:vAlign w:val="center"/>
            <w:hideMark/>
          </w:tcPr>
          <w:p w14:paraId="4C5C57EF" w14:textId="77777777" w:rsidR="008A4A69" w:rsidRPr="00B51B7C" w:rsidRDefault="008A4A69" w:rsidP="008A4A69">
            <w:pPr>
              <w:widowControl/>
              <w:jc w:val="center"/>
              <w:rPr>
                <w:rFonts w:asciiTheme="minorEastAsia" w:hAnsiTheme="minorEastAsia" w:cs="宋体"/>
                <w:kern w:val="0"/>
                <w:szCs w:val="21"/>
              </w:rPr>
            </w:pPr>
            <w:proofErr w:type="gramStart"/>
            <w:r w:rsidRPr="00B51B7C">
              <w:rPr>
                <w:rFonts w:asciiTheme="minorEastAsia" w:hAnsiTheme="minorEastAsia" w:cs="宋体" w:hint="eastAsia"/>
                <w:kern w:val="0"/>
                <w:szCs w:val="21"/>
              </w:rPr>
              <w:t>光伏产成品</w:t>
            </w:r>
            <w:proofErr w:type="gramEnd"/>
            <w:r w:rsidRPr="00B51B7C">
              <w:rPr>
                <w:rFonts w:asciiTheme="minorEastAsia" w:hAnsiTheme="minorEastAsia" w:cs="宋体" w:hint="eastAsia"/>
                <w:kern w:val="0"/>
                <w:szCs w:val="21"/>
              </w:rPr>
              <w:t>、原材料等</w:t>
            </w:r>
          </w:p>
        </w:tc>
        <w:tc>
          <w:tcPr>
            <w:tcW w:w="1169" w:type="dxa"/>
            <w:tcBorders>
              <w:top w:val="nil"/>
              <w:left w:val="nil"/>
              <w:bottom w:val="single" w:sz="4" w:space="0" w:color="auto"/>
              <w:right w:val="single" w:sz="4" w:space="0" w:color="auto"/>
            </w:tcBorders>
            <w:noWrap/>
            <w:vAlign w:val="center"/>
            <w:hideMark/>
          </w:tcPr>
          <w:p w14:paraId="0DA65A59"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3,865.35</w:t>
            </w:r>
          </w:p>
        </w:tc>
        <w:tc>
          <w:tcPr>
            <w:tcW w:w="1238" w:type="dxa"/>
            <w:tcBorders>
              <w:top w:val="nil"/>
              <w:left w:val="nil"/>
              <w:bottom w:val="single" w:sz="4" w:space="0" w:color="auto"/>
              <w:right w:val="single" w:sz="4" w:space="0" w:color="auto"/>
            </w:tcBorders>
            <w:noWrap/>
            <w:vAlign w:val="center"/>
            <w:hideMark/>
          </w:tcPr>
          <w:p w14:paraId="41E4B8BC"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1,656.89</w:t>
            </w:r>
          </w:p>
        </w:tc>
        <w:tc>
          <w:tcPr>
            <w:tcW w:w="1099" w:type="dxa"/>
            <w:tcBorders>
              <w:top w:val="nil"/>
              <w:left w:val="nil"/>
              <w:bottom w:val="single" w:sz="4" w:space="0" w:color="auto"/>
              <w:right w:val="single" w:sz="4" w:space="0" w:color="auto"/>
            </w:tcBorders>
            <w:noWrap/>
            <w:vAlign w:val="center"/>
            <w:hideMark/>
          </w:tcPr>
          <w:p w14:paraId="7E8FEB2C"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42.87%</w:t>
            </w:r>
          </w:p>
        </w:tc>
        <w:tc>
          <w:tcPr>
            <w:tcW w:w="1169" w:type="dxa"/>
            <w:tcBorders>
              <w:top w:val="nil"/>
              <w:left w:val="nil"/>
              <w:bottom w:val="single" w:sz="4" w:space="0" w:color="auto"/>
              <w:right w:val="single" w:sz="4" w:space="0" w:color="auto"/>
            </w:tcBorders>
            <w:noWrap/>
            <w:vAlign w:val="center"/>
            <w:hideMark/>
          </w:tcPr>
          <w:p w14:paraId="723DDFE2"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37,242.06</w:t>
            </w:r>
          </w:p>
        </w:tc>
        <w:tc>
          <w:tcPr>
            <w:tcW w:w="1063" w:type="dxa"/>
            <w:tcBorders>
              <w:top w:val="nil"/>
              <w:left w:val="nil"/>
              <w:bottom w:val="single" w:sz="4" w:space="0" w:color="auto"/>
              <w:right w:val="single" w:sz="4" w:space="0" w:color="auto"/>
            </w:tcBorders>
            <w:noWrap/>
            <w:vAlign w:val="center"/>
            <w:hideMark/>
          </w:tcPr>
          <w:p w14:paraId="4AC2C654"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410.43</w:t>
            </w:r>
          </w:p>
        </w:tc>
        <w:tc>
          <w:tcPr>
            <w:tcW w:w="1137" w:type="dxa"/>
            <w:tcBorders>
              <w:top w:val="nil"/>
              <w:left w:val="nil"/>
              <w:bottom w:val="single" w:sz="4" w:space="0" w:color="auto"/>
              <w:right w:val="single" w:sz="4" w:space="0" w:color="auto"/>
            </w:tcBorders>
            <w:noWrap/>
            <w:vAlign w:val="center"/>
            <w:hideMark/>
          </w:tcPr>
          <w:p w14:paraId="2D3F6DA4"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1.10%</w:t>
            </w:r>
          </w:p>
        </w:tc>
        <w:tc>
          <w:tcPr>
            <w:tcW w:w="1060" w:type="dxa"/>
            <w:tcBorders>
              <w:top w:val="nil"/>
              <w:left w:val="nil"/>
              <w:bottom w:val="single" w:sz="4" w:space="0" w:color="auto"/>
              <w:right w:val="single" w:sz="4" w:space="0" w:color="auto"/>
            </w:tcBorders>
            <w:vAlign w:val="center"/>
          </w:tcPr>
          <w:p w14:paraId="755E0058" w14:textId="78699572"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olor w:val="000000"/>
                <w:szCs w:val="21"/>
              </w:rPr>
              <w:t>1,246.46</w:t>
            </w:r>
          </w:p>
        </w:tc>
        <w:tc>
          <w:tcPr>
            <w:tcW w:w="749" w:type="dxa"/>
            <w:tcBorders>
              <w:top w:val="nil"/>
              <w:left w:val="nil"/>
              <w:bottom w:val="single" w:sz="4" w:space="0" w:color="auto"/>
              <w:right w:val="single" w:sz="4" w:space="0" w:color="auto"/>
            </w:tcBorders>
            <w:vAlign w:val="center"/>
          </w:tcPr>
          <w:p w14:paraId="32403305"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注2</w:t>
            </w:r>
          </w:p>
        </w:tc>
      </w:tr>
      <w:tr w:rsidR="008A4A69" w:rsidRPr="00B51B7C" w14:paraId="7A0138C5" w14:textId="77777777" w:rsidTr="003C6F37">
        <w:trPr>
          <w:trHeight w:val="466"/>
          <w:jc w:val="center"/>
        </w:trPr>
        <w:tc>
          <w:tcPr>
            <w:tcW w:w="1555" w:type="dxa"/>
            <w:tcBorders>
              <w:top w:val="nil"/>
              <w:left w:val="single" w:sz="4" w:space="0" w:color="auto"/>
              <w:bottom w:val="single" w:sz="4" w:space="0" w:color="auto"/>
              <w:right w:val="single" w:sz="4" w:space="0" w:color="auto"/>
            </w:tcBorders>
            <w:noWrap/>
            <w:vAlign w:val="center"/>
            <w:hideMark/>
          </w:tcPr>
          <w:p w14:paraId="59157323"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电站开发产品</w:t>
            </w:r>
          </w:p>
        </w:tc>
        <w:tc>
          <w:tcPr>
            <w:tcW w:w="1169" w:type="dxa"/>
            <w:tcBorders>
              <w:top w:val="nil"/>
              <w:left w:val="nil"/>
              <w:bottom w:val="single" w:sz="4" w:space="0" w:color="auto"/>
              <w:right w:val="single" w:sz="4" w:space="0" w:color="auto"/>
            </w:tcBorders>
            <w:noWrap/>
            <w:vAlign w:val="center"/>
            <w:hideMark/>
          </w:tcPr>
          <w:p w14:paraId="26EEDE0F"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21,994.45</w:t>
            </w:r>
          </w:p>
        </w:tc>
        <w:tc>
          <w:tcPr>
            <w:tcW w:w="1238" w:type="dxa"/>
            <w:tcBorders>
              <w:top w:val="nil"/>
              <w:left w:val="nil"/>
              <w:bottom w:val="single" w:sz="4" w:space="0" w:color="auto"/>
              <w:right w:val="single" w:sz="4" w:space="0" w:color="auto"/>
            </w:tcBorders>
            <w:noWrap/>
            <w:vAlign w:val="center"/>
            <w:hideMark/>
          </w:tcPr>
          <w:p w14:paraId="34C99ED8"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9,494.36</w:t>
            </w:r>
          </w:p>
        </w:tc>
        <w:tc>
          <w:tcPr>
            <w:tcW w:w="1099" w:type="dxa"/>
            <w:tcBorders>
              <w:top w:val="nil"/>
              <w:left w:val="nil"/>
              <w:bottom w:val="single" w:sz="4" w:space="0" w:color="auto"/>
              <w:right w:val="single" w:sz="4" w:space="0" w:color="auto"/>
            </w:tcBorders>
            <w:noWrap/>
            <w:vAlign w:val="center"/>
            <w:hideMark/>
          </w:tcPr>
          <w:p w14:paraId="35DFA38E" w14:textId="77777777" w:rsidR="008A4A69" w:rsidRPr="00B51B7C" w:rsidRDefault="008A4A69" w:rsidP="008A4A69">
            <w:pPr>
              <w:widowControl/>
              <w:spacing w:line="360" w:lineRule="auto"/>
              <w:jc w:val="center"/>
              <w:rPr>
                <w:rFonts w:asciiTheme="minorEastAsia" w:hAnsiTheme="minorEastAsia" w:cs="宋体"/>
                <w:kern w:val="0"/>
                <w:szCs w:val="21"/>
              </w:rPr>
            </w:pPr>
            <w:r w:rsidRPr="00B51B7C">
              <w:rPr>
                <w:rFonts w:asciiTheme="minorEastAsia" w:hAnsiTheme="minorEastAsia" w:cs="宋体" w:hint="eastAsia"/>
                <w:kern w:val="0"/>
                <w:szCs w:val="21"/>
              </w:rPr>
              <w:t>43.17%</w:t>
            </w:r>
          </w:p>
        </w:tc>
        <w:tc>
          <w:tcPr>
            <w:tcW w:w="1169" w:type="dxa"/>
            <w:tcBorders>
              <w:top w:val="nil"/>
              <w:left w:val="nil"/>
              <w:bottom w:val="single" w:sz="4" w:space="0" w:color="auto"/>
              <w:right w:val="single" w:sz="4" w:space="0" w:color="auto"/>
            </w:tcBorders>
            <w:noWrap/>
            <w:vAlign w:val="center"/>
            <w:hideMark/>
          </w:tcPr>
          <w:p w14:paraId="5F924551"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26,366.91</w:t>
            </w:r>
          </w:p>
        </w:tc>
        <w:tc>
          <w:tcPr>
            <w:tcW w:w="1063" w:type="dxa"/>
            <w:tcBorders>
              <w:top w:val="nil"/>
              <w:left w:val="nil"/>
              <w:bottom w:val="single" w:sz="4" w:space="0" w:color="auto"/>
              <w:right w:val="single" w:sz="4" w:space="0" w:color="auto"/>
            </w:tcBorders>
            <w:noWrap/>
            <w:vAlign w:val="center"/>
            <w:hideMark/>
          </w:tcPr>
          <w:p w14:paraId="097A2040"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3,419.68</w:t>
            </w:r>
          </w:p>
        </w:tc>
        <w:tc>
          <w:tcPr>
            <w:tcW w:w="1137" w:type="dxa"/>
            <w:tcBorders>
              <w:top w:val="nil"/>
              <w:left w:val="nil"/>
              <w:bottom w:val="single" w:sz="4" w:space="0" w:color="auto"/>
              <w:right w:val="single" w:sz="4" w:space="0" w:color="auto"/>
            </w:tcBorders>
            <w:noWrap/>
            <w:vAlign w:val="center"/>
            <w:hideMark/>
          </w:tcPr>
          <w:p w14:paraId="2D33F957"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12.97%</w:t>
            </w:r>
          </w:p>
        </w:tc>
        <w:tc>
          <w:tcPr>
            <w:tcW w:w="1060" w:type="dxa"/>
            <w:tcBorders>
              <w:top w:val="nil"/>
              <w:left w:val="nil"/>
              <w:bottom w:val="single" w:sz="4" w:space="0" w:color="auto"/>
              <w:right w:val="single" w:sz="4" w:space="0" w:color="auto"/>
            </w:tcBorders>
            <w:vAlign w:val="center"/>
          </w:tcPr>
          <w:p w14:paraId="3DF13A06" w14:textId="13E66ADB"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olor w:val="000000"/>
                <w:szCs w:val="21"/>
              </w:rPr>
              <w:t>6,074.68</w:t>
            </w:r>
          </w:p>
        </w:tc>
        <w:tc>
          <w:tcPr>
            <w:tcW w:w="749" w:type="dxa"/>
            <w:tcBorders>
              <w:top w:val="nil"/>
              <w:left w:val="nil"/>
              <w:bottom w:val="single" w:sz="4" w:space="0" w:color="auto"/>
              <w:right w:val="single" w:sz="4" w:space="0" w:color="auto"/>
            </w:tcBorders>
            <w:vAlign w:val="center"/>
          </w:tcPr>
          <w:p w14:paraId="6A4BD397"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注3</w:t>
            </w:r>
          </w:p>
        </w:tc>
      </w:tr>
      <w:tr w:rsidR="008A4A69" w:rsidRPr="00B51B7C" w14:paraId="70D6A7FB" w14:textId="77777777" w:rsidTr="003C6F37">
        <w:trPr>
          <w:trHeight w:val="416"/>
          <w:jc w:val="center"/>
        </w:trPr>
        <w:tc>
          <w:tcPr>
            <w:tcW w:w="1555" w:type="dxa"/>
            <w:tcBorders>
              <w:top w:val="nil"/>
              <w:left w:val="single" w:sz="4" w:space="0" w:color="auto"/>
              <w:bottom w:val="single" w:sz="4" w:space="0" w:color="auto"/>
              <w:right w:val="single" w:sz="4" w:space="0" w:color="auto"/>
            </w:tcBorders>
            <w:noWrap/>
            <w:vAlign w:val="center"/>
          </w:tcPr>
          <w:p w14:paraId="1BEBD382"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电站开发成本</w:t>
            </w:r>
          </w:p>
        </w:tc>
        <w:tc>
          <w:tcPr>
            <w:tcW w:w="1169" w:type="dxa"/>
            <w:tcBorders>
              <w:top w:val="nil"/>
              <w:left w:val="nil"/>
              <w:bottom w:val="single" w:sz="4" w:space="0" w:color="auto"/>
              <w:right w:val="single" w:sz="4" w:space="0" w:color="auto"/>
            </w:tcBorders>
            <w:noWrap/>
            <w:vAlign w:val="center"/>
          </w:tcPr>
          <w:p w14:paraId="411DD21B"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2,423.38</w:t>
            </w:r>
          </w:p>
        </w:tc>
        <w:tc>
          <w:tcPr>
            <w:tcW w:w="1238" w:type="dxa"/>
            <w:tcBorders>
              <w:top w:val="nil"/>
              <w:left w:val="nil"/>
              <w:bottom w:val="single" w:sz="4" w:space="0" w:color="auto"/>
              <w:right w:val="single" w:sz="4" w:space="0" w:color="auto"/>
            </w:tcBorders>
            <w:noWrap/>
            <w:vAlign w:val="center"/>
          </w:tcPr>
          <w:p w14:paraId="30123245"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2,189.61</w:t>
            </w:r>
          </w:p>
        </w:tc>
        <w:tc>
          <w:tcPr>
            <w:tcW w:w="1099" w:type="dxa"/>
            <w:tcBorders>
              <w:top w:val="nil"/>
              <w:left w:val="nil"/>
              <w:bottom w:val="single" w:sz="4" w:space="0" w:color="auto"/>
              <w:right w:val="single" w:sz="4" w:space="0" w:color="auto"/>
            </w:tcBorders>
            <w:noWrap/>
            <w:vAlign w:val="center"/>
          </w:tcPr>
          <w:p w14:paraId="451F6073"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90.35%</w:t>
            </w:r>
          </w:p>
        </w:tc>
        <w:tc>
          <w:tcPr>
            <w:tcW w:w="1169" w:type="dxa"/>
            <w:tcBorders>
              <w:top w:val="nil"/>
              <w:left w:val="nil"/>
              <w:bottom w:val="single" w:sz="4" w:space="0" w:color="auto"/>
              <w:right w:val="single" w:sz="4" w:space="0" w:color="auto"/>
            </w:tcBorders>
            <w:noWrap/>
            <w:vAlign w:val="center"/>
          </w:tcPr>
          <w:p w14:paraId="5FC3FE62"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3,602.29</w:t>
            </w:r>
          </w:p>
        </w:tc>
        <w:tc>
          <w:tcPr>
            <w:tcW w:w="1063" w:type="dxa"/>
            <w:tcBorders>
              <w:top w:val="nil"/>
              <w:left w:val="nil"/>
              <w:bottom w:val="single" w:sz="4" w:space="0" w:color="auto"/>
              <w:right w:val="single" w:sz="4" w:space="0" w:color="auto"/>
            </w:tcBorders>
            <w:noWrap/>
            <w:vAlign w:val="center"/>
          </w:tcPr>
          <w:p w14:paraId="7D02D0F0"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2,061.45</w:t>
            </w:r>
          </w:p>
        </w:tc>
        <w:tc>
          <w:tcPr>
            <w:tcW w:w="1137" w:type="dxa"/>
            <w:tcBorders>
              <w:top w:val="nil"/>
              <w:left w:val="nil"/>
              <w:bottom w:val="single" w:sz="4" w:space="0" w:color="auto"/>
              <w:right w:val="single" w:sz="4" w:space="0" w:color="auto"/>
            </w:tcBorders>
            <w:noWrap/>
            <w:vAlign w:val="center"/>
          </w:tcPr>
          <w:p w14:paraId="70167122" w14:textId="77777777"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57.23%</w:t>
            </w:r>
          </w:p>
        </w:tc>
        <w:tc>
          <w:tcPr>
            <w:tcW w:w="1060" w:type="dxa"/>
            <w:tcBorders>
              <w:top w:val="nil"/>
              <w:left w:val="nil"/>
              <w:bottom w:val="single" w:sz="4" w:space="0" w:color="auto"/>
              <w:right w:val="single" w:sz="4" w:space="0" w:color="auto"/>
            </w:tcBorders>
            <w:vAlign w:val="center"/>
          </w:tcPr>
          <w:p w14:paraId="27FF1F90" w14:textId="11B3F116" w:rsidR="008A4A69" w:rsidRPr="00B51B7C" w:rsidRDefault="008A4A69" w:rsidP="008A4A69">
            <w:pPr>
              <w:widowControl/>
              <w:jc w:val="center"/>
              <w:rPr>
                <w:rFonts w:asciiTheme="minorEastAsia" w:hAnsiTheme="minorEastAsia" w:cs="宋体"/>
                <w:kern w:val="0"/>
                <w:szCs w:val="21"/>
              </w:rPr>
            </w:pPr>
            <w:r w:rsidRPr="00B51B7C">
              <w:rPr>
                <w:rFonts w:asciiTheme="minorEastAsia" w:hAnsiTheme="minorEastAsia"/>
                <w:color w:val="000000"/>
                <w:szCs w:val="21"/>
              </w:rPr>
              <w:t>128.16</w:t>
            </w:r>
          </w:p>
        </w:tc>
        <w:tc>
          <w:tcPr>
            <w:tcW w:w="749" w:type="dxa"/>
            <w:tcBorders>
              <w:top w:val="nil"/>
              <w:left w:val="nil"/>
              <w:bottom w:val="single" w:sz="4" w:space="0" w:color="auto"/>
              <w:right w:val="single" w:sz="4" w:space="0" w:color="auto"/>
            </w:tcBorders>
            <w:vAlign w:val="center"/>
          </w:tcPr>
          <w:p w14:paraId="016A94AF" w14:textId="77777777" w:rsidR="008A4A69" w:rsidRPr="00B51B7C" w:rsidRDefault="008A4A69" w:rsidP="008A4A69">
            <w:pPr>
              <w:widowControl/>
              <w:jc w:val="center"/>
              <w:rPr>
                <w:rFonts w:asciiTheme="minorEastAsia" w:hAnsiTheme="minorEastAsia" w:cs="宋体"/>
                <w:kern w:val="0"/>
                <w:szCs w:val="21"/>
              </w:rPr>
            </w:pPr>
          </w:p>
        </w:tc>
      </w:tr>
      <w:tr w:rsidR="008A4A69" w:rsidRPr="00B51B7C" w14:paraId="5D82FE16" w14:textId="77777777" w:rsidTr="003C6F37">
        <w:trPr>
          <w:trHeight w:val="505"/>
          <w:jc w:val="center"/>
        </w:trPr>
        <w:tc>
          <w:tcPr>
            <w:tcW w:w="1555" w:type="dxa"/>
            <w:tcBorders>
              <w:top w:val="nil"/>
              <w:left w:val="single" w:sz="4" w:space="0" w:color="auto"/>
              <w:bottom w:val="single" w:sz="4" w:space="0" w:color="auto"/>
              <w:right w:val="single" w:sz="4" w:space="0" w:color="auto"/>
            </w:tcBorders>
            <w:noWrap/>
            <w:vAlign w:val="center"/>
            <w:hideMark/>
          </w:tcPr>
          <w:p w14:paraId="75F7410B" w14:textId="77777777"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合计</w:t>
            </w:r>
          </w:p>
        </w:tc>
        <w:tc>
          <w:tcPr>
            <w:tcW w:w="1169" w:type="dxa"/>
            <w:tcBorders>
              <w:top w:val="nil"/>
              <w:left w:val="nil"/>
              <w:bottom w:val="single" w:sz="4" w:space="0" w:color="auto"/>
              <w:right w:val="single" w:sz="4" w:space="0" w:color="auto"/>
            </w:tcBorders>
            <w:noWrap/>
            <w:vAlign w:val="center"/>
            <w:hideMark/>
          </w:tcPr>
          <w:p w14:paraId="298727ED" w14:textId="77777777"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56,687.13</w:t>
            </w:r>
          </w:p>
        </w:tc>
        <w:tc>
          <w:tcPr>
            <w:tcW w:w="1238" w:type="dxa"/>
            <w:tcBorders>
              <w:top w:val="nil"/>
              <w:left w:val="nil"/>
              <w:bottom w:val="single" w:sz="4" w:space="0" w:color="auto"/>
              <w:right w:val="single" w:sz="4" w:space="0" w:color="auto"/>
            </w:tcBorders>
            <w:noWrap/>
            <w:vAlign w:val="center"/>
            <w:hideMark/>
          </w:tcPr>
          <w:p w14:paraId="41137C59" w14:textId="77777777"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16,342.66</w:t>
            </w:r>
          </w:p>
        </w:tc>
        <w:tc>
          <w:tcPr>
            <w:tcW w:w="1099" w:type="dxa"/>
            <w:tcBorders>
              <w:top w:val="nil"/>
              <w:left w:val="nil"/>
              <w:bottom w:val="single" w:sz="4" w:space="0" w:color="auto"/>
              <w:right w:val="single" w:sz="4" w:space="0" w:color="auto"/>
            </w:tcBorders>
            <w:noWrap/>
            <w:vAlign w:val="center"/>
            <w:hideMark/>
          </w:tcPr>
          <w:p w14:paraId="23964697" w14:textId="77777777"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28.83%</w:t>
            </w:r>
          </w:p>
        </w:tc>
        <w:tc>
          <w:tcPr>
            <w:tcW w:w="1169" w:type="dxa"/>
            <w:tcBorders>
              <w:top w:val="nil"/>
              <w:left w:val="nil"/>
              <w:bottom w:val="single" w:sz="4" w:space="0" w:color="auto"/>
              <w:right w:val="single" w:sz="4" w:space="0" w:color="auto"/>
            </w:tcBorders>
            <w:noWrap/>
            <w:vAlign w:val="center"/>
            <w:hideMark/>
          </w:tcPr>
          <w:p w14:paraId="571EC3AE" w14:textId="77777777"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96,337.30</w:t>
            </w:r>
          </w:p>
        </w:tc>
        <w:tc>
          <w:tcPr>
            <w:tcW w:w="1063" w:type="dxa"/>
            <w:tcBorders>
              <w:top w:val="nil"/>
              <w:left w:val="nil"/>
              <w:bottom w:val="single" w:sz="4" w:space="0" w:color="auto"/>
              <w:right w:val="single" w:sz="4" w:space="0" w:color="auto"/>
            </w:tcBorders>
            <w:noWrap/>
            <w:vAlign w:val="center"/>
            <w:hideMark/>
          </w:tcPr>
          <w:p w14:paraId="5245C639" w14:textId="77777777"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7,948.49</w:t>
            </w:r>
          </w:p>
        </w:tc>
        <w:tc>
          <w:tcPr>
            <w:tcW w:w="1137" w:type="dxa"/>
            <w:tcBorders>
              <w:top w:val="nil"/>
              <w:left w:val="nil"/>
              <w:bottom w:val="single" w:sz="4" w:space="0" w:color="auto"/>
              <w:right w:val="single" w:sz="4" w:space="0" w:color="auto"/>
            </w:tcBorders>
            <w:noWrap/>
            <w:vAlign w:val="center"/>
            <w:hideMark/>
          </w:tcPr>
          <w:p w14:paraId="59D254A5" w14:textId="77777777"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8.25%</w:t>
            </w:r>
          </w:p>
        </w:tc>
        <w:tc>
          <w:tcPr>
            <w:tcW w:w="1060" w:type="dxa"/>
            <w:tcBorders>
              <w:top w:val="nil"/>
              <w:left w:val="nil"/>
              <w:bottom w:val="single" w:sz="4" w:space="0" w:color="auto"/>
              <w:right w:val="single" w:sz="4" w:space="0" w:color="auto"/>
            </w:tcBorders>
            <w:vAlign w:val="center"/>
          </w:tcPr>
          <w:p w14:paraId="750612E8" w14:textId="2DDC7036" w:rsidR="008A4A69" w:rsidRPr="00B51B7C" w:rsidRDefault="008A4A69" w:rsidP="008A4A69">
            <w:pPr>
              <w:widowControl/>
              <w:jc w:val="center"/>
              <w:rPr>
                <w:rFonts w:asciiTheme="minorEastAsia" w:hAnsiTheme="minorEastAsia" w:cs="宋体"/>
                <w:b/>
                <w:bCs/>
                <w:kern w:val="0"/>
                <w:szCs w:val="21"/>
              </w:rPr>
            </w:pPr>
            <w:r w:rsidRPr="00B51B7C">
              <w:rPr>
                <w:rFonts w:asciiTheme="minorEastAsia" w:hAnsiTheme="minorEastAsia"/>
                <w:b/>
                <w:bCs/>
                <w:color w:val="000000"/>
                <w:szCs w:val="21"/>
              </w:rPr>
              <w:t>8,394.16</w:t>
            </w:r>
          </w:p>
        </w:tc>
        <w:tc>
          <w:tcPr>
            <w:tcW w:w="749" w:type="dxa"/>
            <w:tcBorders>
              <w:top w:val="nil"/>
              <w:left w:val="nil"/>
              <w:bottom w:val="single" w:sz="4" w:space="0" w:color="auto"/>
              <w:right w:val="single" w:sz="4" w:space="0" w:color="auto"/>
            </w:tcBorders>
            <w:vAlign w:val="center"/>
          </w:tcPr>
          <w:p w14:paraId="05104DBD" w14:textId="77777777" w:rsidR="008A4A69" w:rsidRPr="00B51B7C" w:rsidRDefault="008A4A69" w:rsidP="008A4A69">
            <w:pPr>
              <w:widowControl/>
              <w:jc w:val="center"/>
              <w:rPr>
                <w:rFonts w:asciiTheme="minorEastAsia" w:hAnsiTheme="minorEastAsia" w:cs="宋体"/>
                <w:b/>
                <w:bCs/>
                <w:kern w:val="0"/>
                <w:szCs w:val="21"/>
              </w:rPr>
            </w:pPr>
          </w:p>
        </w:tc>
      </w:tr>
    </w:tbl>
    <w:p w14:paraId="60FBC668" w14:textId="77777777" w:rsidR="00094F94" w:rsidRPr="00B51B7C" w:rsidRDefault="00094F94" w:rsidP="003C6F37">
      <w:pPr>
        <w:tabs>
          <w:tab w:val="left" w:pos="0"/>
          <w:tab w:val="left" w:pos="720"/>
        </w:tabs>
        <w:autoSpaceDE w:val="0"/>
        <w:autoSpaceDN w:val="0"/>
        <w:snapToGrid w:val="0"/>
        <w:spacing w:before="240"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 xml:space="preserve">  资产负债表日，存货按照成本与可变现净值孰低计量。当其可变现净值低于成本时，提取存货跌价准备。存货可变现净值的确定依据：</w:t>
      </w:r>
    </w:p>
    <w:p w14:paraId="35F76E08" w14:textId="77777777" w:rsidR="00094F94" w:rsidRPr="00B51B7C" w:rsidRDefault="00094F94"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（1）库存商品（产成品）和用于出售的材料等直接用于出售的商品存货，在正常生产经营过程中，以该存货的估计售价减去估计的销售费用和相关税费后的金额，确定其可变现净值。</w:t>
      </w:r>
    </w:p>
    <w:p w14:paraId="7044F21C" w14:textId="77777777" w:rsidR="00094F94" w:rsidRPr="00B51B7C" w:rsidRDefault="00094F94"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（2）需要经过加工的材料存货，在正常生产经营过程中，以所生产的产成品的估计售价减去至完工时估计将要发生的成本、估计的销售费用和相关税费后的金额，确定其可变现净值。</w:t>
      </w:r>
    </w:p>
    <w:p w14:paraId="200907C5" w14:textId="77777777" w:rsidR="00094F94" w:rsidRPr="00B51B7C" w:rsidRDefault="00094F94"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（3）为执行销售合同或者劳务合同而持有的存货，其可变现净值以合同价格为基础计算；公司持有存货的数量多于销售合同订购数量的，超出部分的存货的可变现净值以一般销售价格为基础计算。</w:t>
      </w:r>
    </w:p>
    <w:p w14:paraId="157BE41D" w14:textId="77777777" w:rsidR="00094F94" w:rsidRPr="00B51B7C" w:rsidRDefault="00094F94"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（4）为生产而持有的材料等，用其生产的产成品的可变现净值高于成本的，该材料仍然按照成本计量；材料价格的下降表明产成品的可变现净值低于成本的，该材料按照可变现净值计量。</w:t>
      </w:r>
    </w:p>
    <w:p w14:paraId="4CEAF451" w14:textId="77777777" w:rsidR="00094F94" w:rsidRPr="00B51B7C" w:rsidRDefault="00094F94"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注1：存货跌价准备略微增加，主要原因是</w:t>
      </w:r>
      <w:proofErr w:type="gramStart"/>
      <w:r w:rsidRPr="00B51B7C">
        <w:rPr>
          <w:rFonts w:asciiTheme="minorEastAsia" w:hAnsiTheme="minorEastAsia" w:cs="Arial" w:hint="eastAsia"/>
          <w:sz w:val="24"/>
        </w:rPr>
        <w:t>原材料库龄较长</w:t>
      </w:r>
      <w:proofErr w:type="gramEnd"/>
      <w:r w:rsidRPr="00B51B7C">
        <w:rPr>
          <w:rFonts w:asciiTheme="minorEastAsia" w:hAnsiTheme="minorEastAsia" w:cs="Arial" w:hint="eastAsia"/>
          <w:sz w:val="24"/>
        </w:rPr>
        <w:t>，加工成产品后预计售价下降。</w:t>
      </w:r>
    </w:p>
    <w:p w14:paraId="6CABA1B6" w14:textId="77777777" w:rsidR="00094F94" w:rsidRPr="00B51B7C" w:rsidRDefault="00094F94"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sz w:val="24"/>
        </w:rPr>
        <w:t>注</w:t>
      </w:r>
      <w:r w:rsidRPr="00B51B7C">
        <w:rPr>
          <w:rFonts w:asciiTheme="minorEastAsia" w:hAnsiTheme="minorEastAsia" w:cs="Arial" w:hint="eastAsia"/>
          <w:sz w:val="24"/>
        </w:rPr>
        <w:t>2：光伏组件各类型产品市价同比下降幅度约2</w:t>
      </w:r>
      <w:r w:rsidRPr="00B51B7C">
        <w:rPr>
          <w:rFonts w:asciiTheme="minorEastAsia" w:hAnsiTheme="minorEastAsia" w:cs="Arial"/>
          <w:sz w:val="24"/>
        </w:rPr>
        <w:t>1%-33%</w:t>
      </w:r>
      <w:r w:rsidRPr="00B51B7C">
        <w:rPr>
          <w:rFonts w:asciiTheme="minorEastAsia" w:hAnsiTheme="minorEastAsia" w:cs="Arial" w:hint="eastAsia"/>
          <w:sz w:val="24"/>
        </w:rPr>
        <w:t>。（市价数据</w:t>
      </w:r>
      <w:r w:rsidRPr="00B51B7C">
        <w:rPr>
          <w:rFonts w:asciiTheme="minorEastAsia" w:hAnsiTheme="minorEastAsia" w:cs="Arial"/>
          <w:sz w:val="24"/>
        </w:rPr>
        <w:t>来源于</w:t>
      </w:r>
      <w:r w:rsidRPr="00B51B7C">
        <w:rPr>
          <w:rFonts w:asciiTheme="minorEastAsia" w:hAnsiTheme="minorEastAsia" w:cs="Arial" w:hint="eastAsia"/>
          <w:sz w:val="24"/>
        </w:rPr>
        <w:t>I</w:t>
      </w:r>
      <w:r w:rsidRPr="00B51B7C">
        <w:rPr>
          <w:rFonts w:asciiTheme="minorEastAsia" w:hAnsiTheme="minorEastAsia" w:cs="Arial"/>
          <w:sz w:val="24"/>
        </w:rPr>
        <w:t>NFOLINK）</w:t>
      </w:r>
      <w:r w:rsidRPr="00B51B7C">
        <w:rPr>
          <w:rFonts w:asciiTheme="minorEastAsia" w:hAnsiTheme="minorEastAsia" w:cs="Arial" w:hint="eastAsia"/>
          <w:sz w:val="24"/>
        </w:rPr>
        <w:t>。</w:t>
      </w:r>
    </w:p>
    <w:p w14:paraId="40C98D95" w14:textId="77777777" w:rsidR="00094F94" w:rsidRPr="00B51B7C" w:rsidRDefault="00094F94"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注3：电站开发产品中规模较大的电站发电收入受国家补贴影响，基于客观</w:t>
      </w:r>
      <w:r w:rsidRPr="00B51B7C">
        <w:rPr>
          <w:rFonts w:asciiTheme="minorEastAsia" w:hAnsiTheme="minorEastAsia" w:cs="Arial" w:hint="eastAsia"/>
          <w:sz w:val="24"/>
        </w:rPr>
        <w:lastRenderedPageBreak/>
        <w:t>情况判断（详见本题（2）回复中第2点注1的因素），2</w:t>
      </w:r>
      <w:r w:rsidRPr="00B51B7C">
        <w:rPr>
          <w:rFonts w:asciiTheme="minorEastAsia" w:hAnsiTheme="minorEastAsia" w:cs="Arial"/>
          <w:sz w:val="24"/>
        </w:rPr>
        <w:t>023</w:t>
      </w:r>
      <w:r w:rsidRPr="00B51B7C">
        <w:rPr>
          <w:rFonts w:asciiTheme="minorEastAsia" w:hAnsiTheme="minorEastAsia" w:cs="Arial" w:hint="eastAsia"/>
          <w:sz w:val="24"/>
        </w:rPr>
        <w:t>年相关电站不存在减值迹象，未聘请评估公司进行减值测试。2</w:t>
      </w:r>
      <w:r w:rsidRPr="00B51B7C">
        <w:rPr>
          <w:rFonts w:asciiTheme="minorEastAsia" w:hAnsiTheme="minorEastAsia" w:cs="Arial"/>
          <w:sz w:val="24"/>
        </w:rPr>
        <w:t>024</w:t>
      </w:r>
      <w:r w:rsidRPr="00B51B7C">
        <w:rPr>
          <w:rFonts w:asciiTheme="minorEastAsia" w:hAnsiTheme="minorEastAsia" w:cs="Arial" w:hint="eastAsia"/>
          <w:sz w:val="24"/>
        </w:rPr>
        <w:t xml:space="preserve">年，为防范相关风险，体现更为谨慎的财务信息，公司管理层聘请评估机构对被投资单位账面净资产的公允价值进行评估。受国补、回收周期、折现率等影响，电站开发产品发生减值，公司计提了相应的存货跌价准备。 </w:t>
      </w:r>
    </w:p>
    <w:p w14:paraId="66104D21" w14:textId="4C14A85D" w:rsidR="006C1E00" w:rsidRPr="00B51B7C" w:rsidRDefault="006C1E00"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sz w:val="24"/>
        </w:rPr>
        <w:t>5</w:t>
      </w:r>
      <w:r w:rsidRPr="00B51B7C">
        <w:rPr>
          <w:rFonts w:asciiTheme="minorEastAsia" w:hAnsiTheme="minorEastAsia" w:cs="Arial" w:hint="eastAsia"/>
          <w:sz w:val="24"/>
        </w:rPr>
        <w:t>、</w:t>
      </w:r>
      <w:r w:rsidR="00094F94" w:rsidRPr="00B51B7C">
        <w:rPr>
          <w:rFonts w:asciiTheme="minorEastAsia" w:hAnsiTheme="minorEastAsia" w:cs="Arial" w:hint="eastAsia"/>
          <w:sz w:val="24"/>
        </w:rPr>
        <w:t>报告期内，公司新增计提固定资产、在建工程减值准备情况</w:t>
      </w:r>
      <w:r w:rsidRPr="00B51B7C">
        <w:rPr>
          <w:rFonts w:asciiTheme="minorEastAsia" w:hAnsiTheme="minorEastAsia" w:cs="Arial" w:hint="eastAsia"/>
          <w:sz w:val="24"/>
        </w:rPr>
        <w:t>：</w:t>
      </w:r>
    </w:p>
    <w:p w14:paraId="50C9D516" w14:textId="4578B636" w:rsidR="005D1AC5" w:rsidRPr="00B51B7C" w:rsidRDefault="005D1AC5" w:rsidP="00B51B7C">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（1）</w:t>
      </w:r>
      <w:r w:rsidR="000D063B" w:rsidRPr="00B51B7C">
        <w:rPr>
          <w:rFonts w:asciiTheme="minorEastAsia" w:hAnsiTheme="minorEastAsia" w:cs="Arial" w:hint="eastAsia"/>
          <w:sz w:val="24"/>
        </w:rPr>
        <w:t>2024年</w:t>
      </w:r>
      <w:r w:rsidRPr="00B51B7C">
        <w:rPr>
          <w:rFonts w:asciiTheme="minorEastAsia" w:hAnsiTheme="minorEastAsia" w:cs="Arial" w:hint="eastAsia"/>
          <w:sz w:val="24"/>
        </w:rPr>
        <w:t>主要减值资产情况及评估方法</w:t>
      </w:r>
    </w:p>
    <w:p w14:paraId="6A0098BD" w14:textId="77777777" w:rsidR="005D1AC5" w:rsidRPr="00B51B7C" w:rsidRDefault="005D1AC5" w:rsidP="005D1AC5">
      <w:pPr>
        <w:tabs>
          <w:tab w:val="left" w:pos="0"/>
          <w:tab w:val="left" w:pos="720"/>
        </w:tabs>
        <w:autoSpaceDE w:val="0"/>
        <w:autoSpaceDN w:val="0"/>
        <w:snapToGrid w:val="0"/>
        <w:spacing w:line="360" w:lineRule="auto"/>
        <w:ind w:firstLineChars="2450" w:firstLine="5880"/>
        <w:textAlignment w:val="bottom"/>
        <w:rPr>
          <w:rFonts w:asciiTheme="minorEastAsia" w:hAnsiTheme="minorEastAsia" w:cs="Arial"/>
          <w:sz w:val="24"/>
        </w:rPr>
      </w:pPr>
      <w:r w:rsidRPr="00B51B7C">
        <w:rPr>
          <w:rFonts w:asciiTheme="minorEastAsia" w:hAnsiTheme="minorEastAsia" w:cs="Arial" w:hint="eastAsia"/>
          <w:sz w:val="24"/>
        </w:rPr>
        <w:t>金额单位：人民币万元</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5"/>
        <w:gridCol w:w="1523"/>
        <w:gridCol w:w="1239"/>
        <w:gridCol w:w="1681"/>
        <w:gridCol w:w="1479"/>
        <w:gridCol w:w="1890"/>
      </w:tblGrid>
      <w:tr w:rsidR="005D1AC5" w:rsidRPr="00B51B7C" w14:paraId="542BE0CC" w14:textId="77777777" w:rsidTr="00F10A96">
        <w:trPr>
          <w:trHeight w:val="340"/>
          <w:tblHeader/>
          <w:jc w:val="center"/>
        </w:trPr>
        <w:tc>
          <w:tcPr>
            <w:tcW w:w="409" w:type="pct"/>
            <w:shd w:val="clear" w:color="auto" w:fill="FFFFFF" w:themeFill="background1"/>
            <w:noWrap/>
            <w:vAlign w:val="center"/>
            <w:hideMark/>
          </w:tcPr>
          <w:p w14:paraId="33F06C25"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序号</w:t>
            </w:r>
          </w:p>
        </w:tc>
        <w:tc>
          <w:tcPr>
            <w:tcW w:w="895" w:type="pct"/>
            <w:shd w:val="clear" w:color="auto" w:fill="FFFFFF" w:themeFill="background1"/>
            <w:noWrap/>
            <w:vAlign w:val="center"/>
            <w:hideMark/>
          </w:tcPr>
          <w:p w14:paraId="297186FB"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公司</w:t>
            </w:r>
          </w:p>
        </w:tc>
        <w:tc>
          <w:tcPr>
            <w:tcW w:w="728" w:type="pct"/>
            <w:shd w:val="clear" w:color="auto" w:fill="FFFFFF" w:themeFill="background1"/>
            <w:noWrap/>
            <w:vAlign w:val="center"/>
            <w:hideMark/>
          </w:tcPr>
          <w:p w14:paraId="0354263A"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资产组</w:t>
            </w:r>
          </w:p>
        </w:tc>
        <w:tc>
          <w:tcPr>
            <w:tcW w:w="988" w:type="pct"/>
            <w:shd w:val="clear" w:color="auto" w:fill="FFFFFF" w:themeFill="background1"/>
            <w:noWrap/>
            <w:vAlign w:val="center"/>
            <w:hideMark/>
          </w:tcPr>
          <w:p w14:paraId="4E4B26C8"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科目</w:t>
            </w:r>
          </w:p>
        </w:tc>
        <w:tc>
          <w:tcPr>
            <w:tcW w:w="869" w:type="pct"/>
            <w:shd w:val="clear" w:color="auto" w:fill="FFFFFF" w:themeFill="background1"/>
            <w:vAlign w:val="center"/>
          </w:tcPr>
          <w:p w14:paraId="341BAAD7"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评估方法</w:t>
            </w:r>
          </w:p>
        </w:tc>
        <w:tc>
          <w:tcPr>
            <w:tcW w:w="1112" w:type="pct"/>
            <w:shd w:val="clear" w:color="auto" w:fill="FFFFFF" w:themeFill="background1"/>
            <w:noWrap/>
            <w:vAlign w:val="center"/>
            <w:hideMark/>
          </w:tcPr>
          <w:p w14:paraId="2475BEF7"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计提减值准备金额</w:t>
            </w:r>
          </w:p>
        </w:tc>
      </w:tr>
      <w:tr w:rsidR="005D1AC5" w:rsidRPr="00B51B7C" w14:paraId="1E82C81A" w14:textId="77777777" w:rsidTr="00F10A96">
        <w:trPr>
          <w:trHeight w:val="576"/>
          <w:jc w:val="center"/>
        </w:trPr>
        <w:tc>
          <w:tcPr>
            <w:tcW w:w="409" w:type="pct"/>
            <w:shd w:val="clear" w:color="auto" w:fill="FFFFFF" w:themeFill="background1"/>
            <w:noWrap/>
            <w:vAlign w:val="center"/>
            <w:hideMark/>
          </w:tcPr>
          <w:p w14:paraId="325BCE7F"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cs="宋体"/>
                <w:kern w:val="0"/>
                <w:szCs w:val="21"/>
              </w:rPr>
              <w:t>1</w:t>
            </w:r>
          </w:p>
        </w:tc>
        <w:tc>
          <w:tcPr>
            <w:tcW w:w="895" w:type="pct"/>
            <w:shd w:val="clear" w:color="auto" w:fill="FFFFFF" w:themeFill="background1"/>
            <w:noWrap/>
            <w:vAlign w:val="center"/>
            <w:hideMark/>
          </w:tcPr>
          <w:p w14:paraId="070DB68E"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苏州腾晖光伏技术有限公司</w:t>
            </w:r>
          </w:p>
        </w:tc>
        <w:tc>
          <w:tcPr>
            <w:tcW w:w="728" w:type="pct"/>
            <w:shd w:val="clear" w:color="auto" w:fill="FFFFFF" w:themeFill="background1"/>
            <w:noWrap/>
            <w:vAlign w:val="center"/>
            <w:hideMark/>
          </w:tcPr>
          <w:p w14:paraId="342125F3"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光</w:t>
            </w:r>
            <w:proofErr w:type="gramStart"/>
            <w:r w:rsidRPr="00B51B7C">
              <w:rPr>
                <w:rFonts w:asciiTheme="minorEastAsia" w:hAnsiTheme="minorEastAsia" w:cs="宋体" w:hint="eastAsia"/>
                <w:kern w:val="0"/>
                <w:szCs w:val="21"/>
              </w:rPr>
              <w:t>伏设备</w:t>
            </w:r>
            <w:proofErr w:type="gramEnd"/>
            <w:r w:rsidRPr="00B51B7C">
              <w:rPr>
                <w:rFonts w:asciiTheme="minorEastAsia" w:hAnsiTheme="minorEastAsia" w:cs="宋体" w:hint="eastAsia"/>
                <w:kern w:val="0"/>
                <w:szCs w:val="21"/>
              </w:rPr>
              <w:t>资产组</w:t>
            </w:r>
          </w:p>
        </w:tc>
        <w:tc>
          <w:tcPr>
            <w:tcW w:w="988" w:type="pct"/>
            <w:shd w:val="clear" w:color="auto" w:fill="FFFFFF" w:themeFill="background1"/>
            <w:noWrap/>
            <w:vAlign w:val="center"/>
            <w:hideMark/>
          </w:tcPr>
          <w:p w14:paraId="76B9B63D"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设备类固定资产</w:t>
            </w:r>
          </w:p>
        </w:tc>
        <w:tc>
          <w:tcPr>
            <w:tcW w:w="869" w:type="pct"/>
            <w:shd w:val="clear" w:color="auto" w:fill="FFFFFF" w:themeFill="background1"/>
            <w:vAlign w:val="center"/>
          </w:tcPr>
          <w:p w14:paraId="4D912FA1" w14:textId="77777777" w:rsidR="005D1AC5" w:rsidRPr="00B51B7C" w:rsidRDefault="005D1AC5" w:rsidP="00BF7747">
            <w:pPr>
              <w:widowControl/>
              <w:jc w:val="left"/>
              <w:rPr>
                <w:rFonts w:asciiTheme="minorEastAsia" w:hAnsiTheme="minorEastAsia" w:cs="宋体"/>
                <w:kern w:val="0"/>
                <w:szCs w:val="21"/>
              </w:rPr>
            </w:pPr>
            <w:r w:rsidRPr="00B51B7C">
              <w:rPr>
                <w:rFonts w:asciiTheme="minorEastAsia" w:hAnsiTheme="minorEastAsia" w:cs="宋体" w:hint="eastAsia"/>
                <w:kern w:val="0"/>
                <w:szCs w:val="21"/>
              </w:rPr>
              <w:t>公允价值减处置费用净额法</w:t>
            </w:r>
          </w:p>
        </w:tc>
        <w:tc>
          <w:tcPr>
            <w:tcW w:w="1112" w:type="pct"/>
            <w:shd w:val="clear" w:color="auto" w:fill="FFFFFF" w:themeFill="background1"/>
            <w:noWrap/>
            <w:vAlign w:val="center"/>
          </w:tcPr>
          <w:p w14:paraId="55DD1BDD"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12,871.</w:t>
            </w:r>
            <w:r w:rsidRPr="00B51B7C">
              <w:rPr>
                <w:rFonts w:asciiTheme="minorEastAsia" w:hAnsiTheme="minorEastAsia" w:cs="宋体"/>
                <w:kern w:val="0"/>
                <w:szCs w:val="21"/>
              </w:rPr>
              <w:t>55</w:t>
            </w:r>
          </w:p>
        </w:tc>
      </w:tr>
      <w:tr w:rsidR="005D1AC5" w:rsidRPr="00B51B7C" w14:paraId="35EC0AE7" w14:textId="77777777" w:rsidTr="00F10A96">
        <w:trPr>
          <w:trHeight w:val="558"/>
          <w:jc w:val="center"/>
        </w:trPr>
        <w:tc>
          <w:tcPr>
            <w:tcW w:w="409" w:type="pct"/>
            <w:shd w:val="clear" w:color="auto" w:fill="FFFFFF" w:themeFill="background1"/>
            <w:noWrap/>
            <w:vAlign w:val="center"/>
            <w:hideMark/>
          </w:tcPr>
          <w:p w14:paraId="1A43469E"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cs="宋体"/>
                <w:kern w:val="0"/>
                <w:szCs w:val="21"/>
              </w:rPr>
              <w:t>2</w:t>
            </w:r>
          </w:p>
        </w:tc>
        <w:tc>
          <w:tcPr>
            <w:tcW w:w="895" w:type="pct"/>
            <w:shd w:val="clear" w:color="auto" w:fill="FFFFFF" w:themeFill="background1"/>
            <w:noWrap/>
            <w:vAlign w:val="center"/>
            <w:hideMark/>
          </w:tcPr>
          <w:p w14:paraId="21F8E594" w14:textId="77777777" w:rsidR="005D1AC5" w:rsidRPr="00B51B7C" w:rsidRDefault="005D1AC5" w:rsidP="00BF7747">
            <w:pPr>
              <w:widowControl/>
              <w:rPr>
                <w:rFonts w:asciiTheme="minorEastAsia" w:hAnsiTheme="minorEastAsia" w:cs="宋体"/>
                <w:kern w:val="0"/>
                <w:szCs w:val="21"/>
              </w:rPr>
            </w:pPr>
            <w:proofErr w:type="gramStart"/>
            <w:r w:rsidRPr="00B51B7C">
              <w:rPr>
                <w:rFonts w:asciiTheme="minorEastAsia" w:hAnsiTheme="minorEastAsia" w:cs="宋体" w:hint="eastAsia"/>
                <w:kern w:val="0"/>
                <w:szCs w:val="21"/>
              </w:rPr>
              <w:t>腾晖技术</w:t>
            </w:r>
            <w:proofErr w:type="gramEnd"/>
            <w:r w:rsidRPr="00B51B7C">
              <w:rPr>
                <w:rFonts w:asciiTheme="minorEastAsia" w:hAnsiTheme="minorEastAsia" w:cs="宋体" w:hint="eastAsia"/>
                <w:kern w:val="0"/>
                <w:szCs w:val="21"/>
              </w:rPr>
              <w:t>（泰国）有限公司</w:t>
            </w:r>
          </w:p>
        </w:tc>
        <w:tc>
          <w:tcPr>
            <w:tcW w:w="728" w:type="pct"/>
            <w:shd w:val="clear" w:color="auto" w:fill="FFFFFF" w:themeFill="background1"/>
            <w:noWrap/>
            <w:vAlign w:val="center"/>
            <w:hideMark/>
          </w:tcPr>
          <w:p w14:paraId="648C31DC"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光</w:t>
            </w:r>
            <w:proofErr w:type="gramStart"/>
            <w:r w:rsidRPr="00B51B7C">
              <w:rPr>
                <w:rFonts w:asciiTheme="minorEastAsia" w:hAnsiTheme="minorEastAsia" w:cs="宋体" w:hint="eastAsia"/>
                <w:kern w:val="0"/>
                <w:szCs w:val="21"/>
              </w:rPr>
              <w:t>伏设备</w:t>
            </w:r>
            <w:proofErr w:type="gramEnd"/>
            <w:r w:rsidRPr="00B51B7C">
              <w:rPr>
                <w:rFonts w:asciiTheme="minorEastAsia" w:hAnsiTheme="minorEastAsia" w:cs="宋体" w:hint="eastAsia"/>
                <w:kern w:val="0"/>
                <w:szCs w:val="21"/>
              </w:rPr>
              <w:t>资产组</w:t>
            </w:r>
          </w:p>
        </w:tc>
        <w:tc>
          <w:tcPr>
            <w:tcW w:w="988" w:type="pct"/>
            <w:shd w:val="clear" w:color="auto" w:fill="FFFFFF" w:themeFill="background1"/>
            <w:noWrap/>
            <w:vAlign w:val="center"/>
            <w:hideMark/>
          </w:tcPr>
          <w:p w14:paraId="7161AF9E"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设备类固定资产</w:t>
            </w:r>
          </w:p>
        </w:tc>
        <w:tc>
          <w:tcPr>
            <w:tcW w:w="869" w:type="pct"/>
            <w:shd w:val="clear" w:color="auto" w:fill="FFFFFF" w:themeFill="background1"/>
            <w:vAlign w:val="center"/>
          </w:tcPr>
          <w:p w14:paraId="4B9B336A" w14:textId="77777777" w:rsidR="005D1AC5" w:rsidRPr="00B51B7C" w:rsidRDefault="005D1AC5" w:rsidP="00BF7747">
            <w:pPr>
              <w:widowControl/>
              <w:jc w:val="left"/>
              <w:rPr>
                <w:rFonts w:asciiTheme="minorEastAsia" w:hAnsiTheme="minorEastAsia" w:cs="宋体"/>
                <w:kern w:val="0"/>
                <w:szCs w:val="21"/>
              </w:rPr>
            </w:pPr>
            <w:r w:rsidRPr="00B51B7C">
              <w:rPr>
                <w:rFonts w:asciiTheme="minorEastAsia" w:hAnsiTheme="minorEastAsia" w:cs="宋体" w:hint="eastAsia"/>
                <w:kern w:val="0"/>
                <w:szCs w:val="21"/>
              </w:rPr>
              <w:t>公允价值减处置费用净额法</w:t>
            </w:r>
          </w:p>
        </w:tc>
        <w:tc>
          <w:tcPr>
            <w:tcW w:w="1112" w:type="pct"/>
            <w:shd w:val="clear" w:color="auto" w:fill="FFFFFF" w:themeFill="background1"/>
            <w:noWrap/>
            <w:vAlign w:val="center"/>
          </w:tcPr>
          <w:p w14:paraId="1C103C75"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cs="宋体"/>
                <w:kern w:val="0"/>
                <w:szCs w:val="21"/>
              </w:rPr>
              <w:t>26,108.97</w:t>
            </w:r>
          </w:p>
        </w:tc>
      </w:tr>
      <w:tr w:rsidR="005D1AC5" w:rsidRPr="00B51B7C" w14:paraId="3CA6A1FF" w14:textId="77777777" w:rsidTr="00F10A96">
        <w:trPr>
          <w:trHeight w:val="430"/>
          <w:jc w:val="center"/>
        </w:trPr>
        <w:tc>
          <w:tcPr>
            <w:tcW w:w="409" w:type="pct"/>
            <w:vMerge w:val="restart"/>
            <w:shd w:val="clear" w:color="auto" w:fill="FFFFFF" w:themeFill="background1"/>
            <w:noWrap/>
            <w:vAlign w:val="center"/>
            <w:hideMark/>
          </w:tcPr>
          <w:p w14:paraId="3B6B14D0"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cs="宋体"/>
                <w:kern w:val="0"/>
                <w:szCs w:val="21"/>
              </w:rPr>
              <w:t>3</w:t>
            </w:r>
          </w:p>
        </w:tc>
        <w:tc>
          <w:tcPr>
            <w:tcW w:w="895" w:type="pct"/>
            <w:vMerge w:val="restart"/>
            <w:shd w:val="clear" w:color="auto" w:fill="FFFFFF" w:themeFill="background1"/>
            <w:noWrap/>
            <w:vAlign w:val="center"/>
            <w:hideMark/>
          </w:tcPr>
          <w:p w14:paraId="160A41B0"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青海中利光纤技术有限公司</w:t>
            </w:r>
          </w:p>
        </w:tc>
        <w:tc>
          <w:tcPr>
            <w:tcW w:w="728" w:type="pct"/>
            <w:vMerge w:val="restart"/>
            <w:shd w:val="clear" w:color="auto" w:fill="FFFFFF" w:themeFill="background1"/>
            <w:noWrap/>
            <w:vAlign w:val="center"/>
            <w:hideMark/>
          </w:tcPr>
          <w:p w14:paraId="2286B36A"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光纤、</w:t>
            </w:r>
            <w:proofErr w:type="gramStart"/>
            <w:r w:rsidRPr="00B51B7C">
              <w:rPr>
                <w:rFonts w:asciiTheme="minorEastAsia" w:hAnsiTheme="minorEastAsia" w:cs="宋体" w:hint="eastAsia"/>
                <w:kern w:val="0"/>
                <w:szCs w:val="21"/>
              </w:rPr>
              <w:t>光棒设备</w:t>
            </w:r>
            <w:proofErr w:type="gramEnd"/>
            <w:r w:rsidRPr="00B51B7C">
              <w:rPr>
                <w:rFonts w:asciiTheme="minorEastAsia" w:hAnsiTheme="minorEastAsia" w:cs="宋体" w:hint="eastAsia"/>
                <w:kern w:val="0"/>
                <w:szCs w:val="21"/>
              </w:rPr>
              <w:t>资产组</w:t>
            </w:r>
          </w:p>
        </w:tc>
        <w:tc>
          <w:tcPr>
            <w:tcW w:w="988" w:type="pct"/>
            <w:shd w:val="clear" w:color="auto" w:fill="FFFFFF" w:themeFill="background1"/>
            <w:noWrap/>
            <w:vAlign w:val="center"/>
            <w:hideMark/>
          </w:tcPr>
          <w:p w14:paraId="249D9F02" w14:textId="77777777" w:rsidR="005D1AC5" w:rsidRPr="00B51B7C" w:rsidRDefault="005D1AC5" w:rsidP="00BF7747">
            <w:pPr>
              <w:widowControl/>
              <w:rPr>
                <w:rFonts w:asciiTheme="minorEastAsia" w:hAnsiTheme="minorEastAsia" w:cs="宋体"/>
                <w:kern w:val="0"/>
                <w:szCs w:val="21"/>
              </w:rPr>
            </w:pPr>
            <w:r w:rsidRPr="00B51B7C">
              <w:rPr>
                <w:rFonts w:asciiTheme="minorEastAsia" w:hAnsiTheme="minorEastAsia" w:cs="宋体" w:hint="eastAsia"/>
                <w:kern w:val="0"/>
                <w:szCs w:val="21"/>
              </w:rPr>
              <w:t>设备类固定资产</w:t>
            </w:r>
          </w:p>
        </w:tc>
        <w:tc>
          <w:tcPr>
            <w:tcW w:w="869" w:type="pct"/>
            <w:vMerge w:val="restart"/>
            <w:shd w:val="clear" w:color="auto" w:fill="FFFFFF" w:themeFill="background1"/>
            <w:vAlign w:val="center"/>
          </w:tcPr>
          <w:p w14:paraId="4DE9DDBA" w14:textId="77777777" w:rsidR="005D1AC5" w:rsidRPr="00B51B7C" w:rsidRDefault="005D1AC5" w:rsidP="00BF7747">
            <w:pPr>
              <w:widowControl/>
              <w:jc w:val="left"/>
              <w:rPr>
                <w:rFonts w:asciiTheme="minorEastAsia" w:hAnsiTheme="minorEastAsia"/>
                <w:color w:val="000000"/>
                <w:sz w:val="22"/>
              </w:rPr>
            </w:pPr>
            <w:r w:rsidRPr="00B51B7C">
              <w:rPr>
                <w:rFonts w:asciiTheme="minorEastAsia" w:hAnsiTheme="minorEastAsia" w:cs="宋体" w:hint="eastAsia"/>
                <w:kern w:val="0"/>
                <w:szCs w:val="21"/>
              </w:rPr>
              <w:t>现金流量折现法</w:t>
            </w:r>
          </w:p>
        </w:tc>
        <w:tc>
          <w:tcPr>
            <w:tcW w:w="1112" w:type="pct"/>
            <w:shd w:val="clear" w:color="auto" w:fill="FFFFFF" w:themeFill="background1"/>
            <w:noWrap/>
            <w:vAlign w:val="center"/>
          </w:tcPr>
          <w:p w14:paraId="1FEC05C9"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hint="eastAsia"/>
                <w:color w:val="000000"/>
                <w:sz w:val="22"/>
              </w:rPr>
              <w:t>12,647.39</w:t>
            </w:r>
          </w:p>
        </w:tc>
      </w:tr>
      <w:tr w:rsidR="005D1AC5" w:rsidRPr="00B51B7C" w14:paraId="7956455C" w14:textId="77777777" w:rsidTr="00F10A96">
        <w:trPr>
          <w:trHeight w:val="401"/>
          <w:jc w:val="center"/>
        </w:trPr>
        <w:tc>
          <w:tcPr>
            <w:tcW w:w="409" w:type="pct"/>
            <w:vMerge/>
            <w:shd w:val="clear" w:color="auto" w:fill="FFFFFF" w:themeFill="background1"/>
            <w:vAlign w:val="center"/>
            <w:hideMark/>
          </w:tcPr>
          <w:p w14:paraId="5FA19365" w14:textId="77777777" w:rsidR="005D1AC5" w:rsidRPr="00B51B7C" w:rsidRDefault="005D1AC5" w:rsidP="00BF7747">
            <w:pPr>
              <w:widowControl/>
              <w:snapToGrid w:val="0"/>
              <w:jc w:val="center"/>
              <w:rPr>
                <w:rFonts w:asciiTheme="minorEastAsia" w:hAnsiTheme="minorEastAsia" w:cs="宋体"/>
                <w:kern w:val="0"/>
                <w:shd w:val="pct15" w:color="auto" w:fill="FFFFFF"/>
              </w:rPr>
            </w:pPr>
          </w:p>
        </w:tc>
        <w:tc>
          <w:tcPr>
            <w:tcW w:w="895" w:type="pct"/>
            <w:vMerge/>
            <w:shd w:val="clear" w:color="auto" w:fill="FFFFFF" w:themeFill="background1"/>
            <w:vAlign w:val="center"/>
            <w:hideMark/>
          </w:tcPr>
          <w:p w14:paraId="54A068C6" w14:textId="77777777" w:rsidR="005D1AC5" w:rsidRPr="00B51B7C" w:rsidRDefault="005D1AC5" w:rsidP="00BF7747">
            <w:pPr>
              <w:widowControl/>
              <w:rPr>
                <w:rFonts w:asciiTheme="minorEastAsia" w:hAnsiTheme="minorEastAsia" w:cs="宋体"/>
                <w:kern w:val="0"/>
                <w:szCs w:val="21"/>
              </w:rPr>
            </w:pPr>
          </w:p>
        </w:tc>
        <w:tc>
          <w:tcPr>
            <w:tcW w:w="728" w:type="pct"/>
            <w:vMerge/>
            <w:shd w:val="clear" w:color="auto" w:fill="FFFFFF" w:themeFill="background1"/>
            <w:vAlign w:val="center"/>
            <w:hideMark/>
          </w:tcPr>
          <w:p w14:paraId="28E06107" w14:textId="77777777" w:rsidR="005D1AC5" w:rsidRPr="00B51B7C" w:rsidRDefault="005D1AC5" w:rsidP="00BF7747">
            <w:pPr>
              <w:widowControl/>
              <w:rPr>
                <w:rFonts w:asciiTheme="minorEastAsia" w:hAnsiTheme="minorEastAsia" w:cs="宋体"/>
                <w:kern w:val="0"/>
                <w:szCs w:val="21"/>
              </w:rPr>
            </w:pPr>
          </w:p>
        </w:tc>
        <w:tc>
          <w:tcPr>
            <w:tcW w:w="988" w:type="pct"/>
            <w:shd w:val="clear" w:color="auto" w:fill="FFFFFF" w:themeFill="background1"/>
            <w:noWrap/>
            <w:vAlign w:val="center"/>
            <w:hideMark/>
          </w:tcPr>
          <w:p w14:paraId="42F70F00"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cs="宋体" w:hint="eastAsia"/>
                <w:kern w:val="0"/>
                <w:szCs w:val="21"/>
              </w:rPr>
              <w:t>在建工程</w:t>
            </w:r>
          </w:p>
        </w:tc>
        <w:tc>
          <w:tcPr>
            <w:tcW w:w="869" w:type="pct"/>
            <w:vMerge/>
            <w:shd w:val="clear" w:color="auto" w:fill="FFFFFF" w:themeFill="background1"/>
            <w:vAlign w:val="center"/>
          </w:tcPr>
          <w:p w14:paraId="1B075B74" w14:textId="77777777" w:rsidR="005D1AC5" w:rsidRPr="00B51B7C" w:rsidRDefault="005D1AC5" w:rsidP="00BF7747">
            <w:pPr>
              <w:widowControl/>
              <w:jc w:val="center"/>
              <w:rPr>
                <w:rFonts w:asciiTheme="minorEastAsia" w:hAnsiTheme="minorEastAsia"/>
                <w:color w:val="000000"/>
                <w:sz w:val="22"/>
              </w:rPr>
            </w:pPr>
          </w:p>
        </w:tc>
        <w:tc>
          <w:tcPr>
            <w:tcW w:w="1112" w:type="pct"/>
            <w:shd w:val="clear" w:color="auto" w:fill="FFFFFF" w:themeFill="background1"/>
            <w:noWrap/>
            <w:vAlign w:val="center"/>
          </w:tcPr>
          <w:p w14:paraId="044C2C90" w14:textId="77777777" w:rsidR="005D1AC5" w:rsidRPr="00B51B7C" w:rsidRDefault="005D1AC5" w:rsidP="00BF7747">
            <w:pPr>
              <w:widowControl/>
              <w:jc w:val="center"/>
              <w:rPr>
                <w:rFonts w:asciiTheme="minorEastAsia" w:hAnsiTheme="minorEastAsia" w:cs="宋体"/>
                <w:kern w:val="0"/>
                <w:szCs w:val="21"/>
              </w:rPr>
            </w:pPr>
            <w:r w:rsidRPr="00B51B7C">
              <w:rPr>
                <w:rFonts w:asciiTheme="minorEastAsia" w:hAnsiTheme="minorEastAsia" w:hint="eastAsia"/>
                <w:color w:val="000000"/>
                <w:sz w:val="22"/>
              </w:rPr>
              <w:t>20,478.76</w:t>
            </w:r>
          </w:p>
        </w:tc>
      </w:tr>
      <w:tr w:rsidR="005D1AC5" w:rsidRPr="00B51B7C" w14:paraId="4B434624" w14:textId="77777777" w:rsidTr="00F10A96">
        <w:trPr>
          <w:trHeight w:val="468"/>
          <w:jc w:val="center"/>
        </w:trPr>
        <w:tc>
          <w:tcPr>
            <w:tcW w:w="409" w:type="pct"/>
            <w:shd w:val="clear" w:color="auto" w:fill="FFFFFF" w:themeFill="background1"/>
            <w:noWrap/>
            <w:vAlign w:val="center"/>
            <w:hideMark/>
          </w:tcPr>
          <w:p w14:paraId="7DAFCB56" w14:textId="77777777" w:rsidR="005D1AC5" w:rsidRPr="00B51B7C" w:rsidRDefault="005D1AC5" w:rsidP="00BF7747">
            <w:pPr>
              <w:widowControl/>
              <w:jc w:val="center"/>
              <w:rPr>
                <w:rFonts w:asciiTheme="minorEastAsia" w:hAnsiTheme="minorEastAsia" w:cs="宋体"/>
                <w:kern w:val="0"/>
                <w:szCs w:val="21"/>
              </w:rPr>
            </w:pPr>
          </w:p>
        </w:tc>
        <w:tc>
          <w:tcPr>
            <w:tcW w:w="2610" w:type="pct"/>
            <w:gridSpan w:val="3"/>
            <w:shd w:val="clear" w:color="auto" w:fill="FFFFFF" w:themeFill="background1"/>
            <w:noWrap/>
            <w:vAlign w:val="center"/>
            <w:hideMark/>
          </w:tcPr>
          <w:p w14:paraId="5C189841"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hint="eastAsia"/>
                <w:b/>
                <w:bCs/>
                <w:kern w:val="0"/>
                <w:szCs w:val="21"/>
              </w:rPr>
              <w:t>合计</w:t>
            </w:r>
          </w:p>
        </w:tc>
        <w:tc>
          <w:tcPr>
            <w:tcW w:w="869" w:type="pct"/>
            <w:shd w:val="clear" w:color="auto" w:fill="FFFFFF" w:themeFill="background1"/>
            <w:vAlign w:val="center"/>
          </w:tcPr>
          <w:p w14:paraId="3695D2C0" w14:textId="77777777" w:rsidR="005D1AC5" w:rsidRPr="00B51B7C" w:rsidRDefault="005D1AC5" w:rsidP="00BF7747">
            <w:pPr>
              <w:widowControl/>
              <w:jc w:val="center"/>
              <w:rPr>
                <w:rFonts w:asciiTheme="minorEastAsia" w:hAnsiTheme="minorEastAsia" w:cs="宋体"/>
                <w:b/>
                <w:bCs/>
                <w:kern w:val="0"/>
                <w:szCs w:val="21"/>
              </w:rPr>
            </w:pPr>
          </w:p>
        </w:tc>
        <w:tc>
          <w:tcPr>
            <w:tcW w:w="1112" w:type="pct"/>
            <w:shd w:val="clear" w:color="auto" w:fill="FFFFFF" w:themeFill="background1"/>
            <w:noWrap/>
            <w:vAlign w:val="center"/>
            <w:hideMark/>
          </w:tcPr>
          <w:p w14:paraId="2CC2E120" w14:textId="77777777" w:rsidR="005D1AC5" w:rsidRPr="00B51B7C" w:rsidRDefault="005D1AC5" w:rsidP="00BF7747">
            <w:pPr>
              <w:widowControl/>
              <w:jc w:val="center"/>
              <w:rPr>
                <w:rFonts w:asciiTheme="minorEastAsia" w:hAnsiTheme="minorEastAsia" w:cs="宋体"/>
                <w:b/>
                <w:bCs/>
                <w:kern w:val="0"/>
                <w:szCs w:val="21"/>
              </w:rPr>
            </w:pPr>
            <w:r w:rsidRPr="00B51B7C">
              <w:rPr>
                <w:rFonts w:asciiTheme="minorEastAsia" w:hAnsiTheme="minorEastAsia" w:cs="宋体"/>
                <w:b/>
                <w:bCs/>
                <w:kern w:val="0"/>
                <w:szCs w:val="21"/>
              </w:rPr>
              <w:t>72</w:t>
            </w:r>
            <w:r w:rsidRPr="00B51B7C">
              <w:rPr>
                <w:rFonts w:asciiTheme="minorEastAsia" w:hAnsiTheme="minorEastAsia" w:cs="宋体" w:hint="eastAsia"/>
                <w:b/>
                <w:bCs/>
                <w:kern w:val="0"/>
                <w:szCs w:val="21"/>
              </w:rPr>
              <w:t>,1</w:t>
            </w:r>
            <w:r w:rsidRPr="00B51B7C">
              <w:rPr>
                <w:rFonts w:asciiTheme="minorEastAsia" w:hAnsiTheme="minorEastAsia" w:cs="宋体"/>
                <w:b/>
                <w:bCs/>
                <w:kern w:val="0"/>
                <w:szCs w:val="21"/>
              </w:rPr>
              <w:t>06.67</w:t>
            </w:r>
          </w:p>
        </w:tc>
      </w:tr>
    </w:tbl>
    <w:p w14:paraId="6EE6B1C9" w14:textId="77777777" w:rsidR="005D1AC5" w:rsidRPr="00B51B7C" w:rsidRDefault="005D1AC5" w:rsidP="005D1AC5">
      <w:pPr>
        <w:tabs>
          <w:tab w:val="left" w:pos="0"/>
          <w:tab w:val="left" w:pos="720"/>
        </w:tabs>
        <w:autoSpaceDE w:val="0"/>
        <w:autoSpaceDN w:val="0"/>
        <w:snapToGrid w:val="0"/>
        <w:spacing w:line="360" w:lineRule="auto"/>
        <w:textAlignment w:val="bottom"/>
        <w:rPr>
          <w:rFonts w:asciiTheme="minorEastAsia" w:hAnsiTheme="minorEastAsia" w:cs="Arial"/>
          <w:sz w:val="24"/>
        </w:rPr>
      </w:pPr>
      <w:r w:rsidRPr="00B51B7C">
        <w:rPr>
          <w:rFonts w:asciiTheme="minorEastAsia" w:hAnsiTheme="minorEastAsia" w:cs="Arial" w:hint="eastAsia"/>
          <w:sz w:val="24"/>
        </w:rPr>
        <w:t>注：报告期内计提资产减值损失共77,866.58万元，上述资产减值占比约9</w:t>
      </w:r>
      <w:r w:rsidRPr="00B51B7C">
        <w:rPr>
          <w:rFonts w:asciiTheme="minorEastAsia" w:hAnsiTheme="minorEastAsia" w:cs="Arial"/>
          <w:sz w:val="24"/>
        </w:rPr>
        <w:t>2.60%</w:t>
      </w:r>
      <w:r w:rsidRPr="00B51B7C">
        <w:rPr>
          <w:rFonts w:asciiTheme="minorEastAsia" w:hAnsiTheme="minorEastAsia" w:cs="Arial" w:hint="eastAsia"/>
          <w:sz w:val="24"/>
        </w:rPr>
        <w:t>。</w:t>
      </w:r>
    </w:p>
    <w:p w14:paraId="0C1B8054"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（2）2</w:t>
      </w:r>
      <w:r w:rsidRPr="00B51B7C">
        <w:rPr>
          <w:rFonts w:asciiTheme="minorEastAsia" w:hAnsiTheme="minorEastAsia" w:cs="Arial"/>
          <w:sz w:val="24"/>
        </w:rPr>
        <w:t>023</w:t>
      </w:r>
      <w:r w:rsidRPr="00B51B7C">
        <w:rPr>
          <w:rFonts w:asciiTheme="minorEastAsia" w:hAnsiTheme="minorEastAsia" w:cs="Arial" w:hint="eastAsia"/>
          <w:sz w:val="24"/>
        </w:rPr>
        <w:t>年度计提情况</w:t>
      </w:r>
    </w:p>
    <w:p w14:paraId="1616D9CE"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2023年度，经公司原管理层审慎分析，认为序号1中的2条电池片生产线设备因处于闲置状态出现明显减值迹象，公司原管理层聘请评估师进行减值测试并根据评估报告计提了减值准备。</w:t>
      </w:r>
    </w:p>
    <w:p w14:paraId="05AE6BA9"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序号1及序号2中其他光</w:t>
      </w:r>
      <w:proofErr w:type="gramStart"/>
      <w:r w:rsidRPr="00B51B7C">
        <w:rPr>
          <w:rFonts w:asciiTheme="minorEastAsia" w:hAnsiTheme="minorEastAsia" w:cs="Arial" w:hint="eastAsia"/>
          <w:sz w:val="24"/>
        </w:rPr>
        <w:t>伏资产组</w:t>
      </w:r>
      <w:proofErr w:type="gramEnd"/>
      <w:r w:rsidRPr="00B51B7C">
        <w:rPr>
          <w:rFonts w:asciiTheme="minorEastAsia" w:hAnsiTheme="minorEastAsia" w:cs="Arial" w:hint="eastAsia"/>
          <w:sz w:val="24"/>
        </w:rPr>
        <w:t>不存在明显的减值迹象，主要基于：1）资产组的价格未发生大幅下跌；2）光</w:t>
      </w:r>
      <w:proofErr w:type="gramStart"/>
      <w:r w:rsidRPr="00B51B7C">
        <w:rPr>
          <w:rFonts w:asciiTheme="minorEastAsia" w:hAnsiTheme="minorEastAsia" w:cs="Arial" w:hint="eastAsia"/>
          <w:sz w:val="24"/>
        </w:rPr>
        <w:t>伏行业未</w:t>
      </w:r>
      <w:proofErr w:type="gramEnd"/>
      <w:r w:rsidRPr="00B51B7C">
        <w:rPr>
          <w:rFonts w:asciiTheme="minorEastAsia" w:hAnsiTheme="minorEastAsia" w:cs="Arial" w:hint="eastAsia"/>
          <w:sz w:val="24"/>
        </w:rPr>
        <w:t>发生显著的市场环境变化，光伏组件毛利同比差异较小，行业内盈利企业的比重较大；3）市场利率未发生显著的变化，不足以影响资产预计未来现金流量现值折现率的变化；4）资产未闲置、生产技术未过时，公司处于破产重整，受运营资金紧张、债务缠身等多重因素的影响，营</w:t>
      </w:r>
      <w:proofErr w:type="gramStart"/>
      <w:r w:rsidRPr="00B51B7C">
        <w:rPr>
          <w:rFonts w:asciiTheme="minorEastAsia" w:hAnsiTheme="minorEastAsia" w:cs="Arial" w:hint="eastAsia"/>
          <w:sz w:val="24"/>
        </w:rPr>
        <w:t>收规模</w:t>
      </w:r>
      <w:proofErr w:type="gramEnd"/>
      <w:r w:rsidRPr="00B51B7C">
        <w:rPr>
          <w:rFonts w:asciiTheme="minorEastAsia" w:hAnsiTheme="minorEastAsia" w:cs="Arial" w:hint="eastAsia"/>
          <w:sz w:val="24"/>
        </w:rPr>
        <w:t>有所下降，但仍具有一定规模，毛利同比趋于稳定。</w:t>
      </w:r>
    </w:p>
    <w:p w14:paraId="0F64F23D"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2023年度，经公司原管理层审慎分析，认为序号3光纤、</w:t>
      </w:r>
      <w:proofErr w:type="gramStart"/>
      <w:r w:rsidRPr="00B51B7C">
        <w:rPr>
          <w:rFonts w:asciiTheme="minorEastAsia" w:hAnsiTheme="minorEastAsia" w:cs="Arial" w:hint="eastAsia"/>
          <w:sz w:val="24"/>
        </w:rPr>
        <w:t>光棒资产组</w:t>
      </w:r>
      <w:proofErr w:type="gramEnd"/>
      <w:r w:rsidRPr="00B51B7C">
        <w:rPr>
          <w:rFonts w:asciiTheme="minorEastAsia" w:hAnsiTheme="minorEastAsia" w:cs="Arial" w:hint="eastAsia"/>
          <w:sz w:val="24"/>
        </w:rPr>
        <w:t>不存在明显的减值迹象，主要原因如下：</w:t>
      </w:r>
    </w:p>
    <w:p w14:paraId="2EADB859"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青海中利主要生产销售的产品是光纤、光棒，其中在建工程项目主要用来生</w:t>
      </w:r>
      <w:r w:rsidRPr="00B51B7C">
        <w:rPr>
          <w:rFonts w:asciiTheme="minorEastAsia" w:hAnsiTheme="minorEastAsia" w:cs="Arial" w:hint="eastAsia"/>
          <w:sz w:val="24"/>
        </w:rPr>
        <w:lastRenderedPageBreak/>
        <w:t>产光棒（光纤的上游产品）。前期受5G建设速度、网络覆盖率不及预期的影响,光纤、</w:t>
      </w:r>
      <w:proofErr w:type="gramStart"/>
      <w:r w:rsidRPr="00B51B7C">
        <w:rPr>
          <w:rFonts w:asciiTheme="minorEastAsia" w:hAnsiTheme="minorEastAsia" w:cs="Arial" w:hint="eastAsia"/>
          <w:sz w:val="24"/>
        </w:rPr>
        <w:t>光棒市场</w:t>
      </w:r>
      <w:proofErr w:type="gramEnd"/>
      <w:r w:rsidRPr="00B51B7C">
        <w:rPr>
          <w:rFonts w:asciiTheme="minorEastAsia" w:hAnsiTheme="minorEastAsia" w:cs="Arial" w:hint="eastAsia"/>
          <w:sz w:val="24"/>
        </w:rPr>
        <w:t>需求量未出现大幅增长，但随着行业产能的大幅扩张，行业竞争进一步加剧。2020年主材光纤、</w:t>
      </w:r>
      <w:proofErr w:type="gramStart"/>
      <w:r w:rsidRPr="00B51B7C">
        <w:rPr>
          <w:rFonts w:asciiTheme="minorEastAsia" w:hAnsiTheme="minorEastAsia" w:cs="Arial" w:hint="eastAsia"/>
          <w:sz w:val="24"/>
        </w:rPr>
        <w:t>光棒价格</w:t>
      </w:r>
      <w:proofErr w:type="gramEnd"/>
      <w:r w:rsidRPr="00B51B7C">
        <w:rPr>
          <w:rFonts w:asciiTheme="minorEastAsia" w:hAnsiTheme="minorEastAsia" w:cs="Arial" w:hint="eastAsia"/>
          <w:sz w:val="24"/>
        </w:rPr>
        <w:t>较 2019 年相比普遍下降约 30%-50%，毛利率同步发生显著下降，该项目于2</w:t>
      </w:r>
      <w:r w:rsidRPr="00B51B7C">
        <w:rPr>
          <w:rFonts w:asciiTheme="minorEastAsia" w:hAnsiTheme="minorEastAsia" w:cs="Arial"/>
          <w:sz w:val="24"/>
        </w:rPr>
        <w:t>02</w:t>
      </w:r>
      <w:r w:rsidRPr="00B51B7C">
        <w:rPr>
          <w:rFonts w:asciiTheme="minorEastAsia" w:hAnsiTheme="minorEastAsia" w:cs="Arial" w:hint="eastAsia"/>
          <w:sz w:val="24"/>
        </w:rPr>
        <w:t>0年出现明显减值迹象，公司于当年聘请了第三方评估机构进行减值测试并计提减值损失。</w:t>
      </w:r>
    </w:p>
    <w:p w14:paraId="5985EBEC"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2021年至2023年，光纤市场环境较前期相比未发生重大不利变化，同时为该在建工程所采购的主要生产设备和附属设施等的市场价格未发生重大变化。青海中利</w:t>
      </w:r>
      <w:proofErr w:type="gramStart"/>
      <w:r w:rsidRPr="00B51B7C">
        <w:rPr>
          <w:rFonts w:asciiTheme="minorEastAsia" w:hAnsiTheme="minorEastAsia" w:cs="Arial" w:hint="eastAsia"/>
          <w:sz w:val="24"/>
        </w:rPr>
        <w:t>光棒生产</w:t>
      </w:r>
      <w:proofErr w:type="gramEnd"/>
      <w:r w:rsidRPr="00B51B7C">
        <w:rPr>
          <w:rFonts w:asciiTheme="minorEastAsia" w:hAnsiTheme="minorEastAsia" w:cs="Arial" w:hint="eastAsia"/>
          <w:sz w:val="24"/>
        </w:rPr>
        <w:t>设备产能利用率逐年提高，</w:t>
      </w:r>
      <w:proofErr w:type="gramStart"/>
      <w:r w:rsidRPr="00B51B7C">
        <w:rPr>
          <w:rFonts w:asciiTheme="minorEastAsia" w:hAnsiTheme="minorEastAsia" w:cs="Arial" w:hint="eastAsia"/>
          <w:sz w:val="24"/>
        </w:rPr>
        <w:t>2023年光棒产能</w:t>
      </w:r>
      <w:proofErr w:type="gramEnd"/>
      <w:r w:rsidRPr="00B51B7C">
        <w:rPr>
          <w:rFonts w:asciiTheme="minorEastAsia" w:hAnsiTheme="minorEastAsia" w:cs="Arial" w:hint="eastAsia"/>
          <w:sz w:val="24"/>
        </w:rPr>
        <w:t>利用率达 92%，该在建工程不存在不满足市场需求的情况，2021年至2023年期间未出现进一步减值迹象。</w:t>
      </w:r>
    </w:p>
    <w:p w14:paraId="01B8A26B"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（3）2</w:t>
      </w:r>
      <w:r w:rsidRPr="00B51B7C">
        <w:rPr>
          <w:rFonts w:asciiTheme="minorEastAsia" w:hAnsiTheme="minorEastAsia" w:cs="Arial"/>
          <w:sz w:val="24"/>
        </w:rPr>
        <w:t>024</w:t>
      </w:r>
      <w:r w:rsidRPr="00B51B7C">
        <w:rPr>
          <w:rFonts w:asciiTheme="minorEastAsia" w:hAnsiTheme="minorEastAsia" w:cs="Arial" w:hint="eastAsia"/>
          <w:sz w:val="24"/>
        </w:rPr>
        <w:t>年度的减值迹象</w:t>
      </w:r>
    </w:p>
    <w:p w14:paraId="233B82A5"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sz w:val="24"/>
        </w:rPr>
      </w:pPr>
      <w:r w:rsidRPr="00B51B7C">
        <w:rPr>
          <w:rFonts w:asciiTheme="minorEastAsia" w:hAnsiTheme="minorEastAsia" w:cs="Arial" w:hint="eastAsia"/>
          <w:sz w:val="24"/>
        </w:rPr>
        <w:t>2</w:t>
      </w:r>
      <w:r w:rsidRPr="00B51B7C">
        <w:rPr>
          <w:rFonts w:asciiTheme="minorEastAsia" w:hAnsiTheme="minorEastAsia" w:cs="Arial"/>
          <w:sz w:val="24"/>
        </w:rPr>
        <w:t>024</w:t>
      </w:r>
      <w:r w:rsidRPr="00B51B7C">
        <w:rPr>
          <w:rFonts w:asciiTheme="minorEastAsia" w:hAnsiTheme="minorEastAsia" w:cs="Arial" w:hint="eastAsia"/>
          <w:sz w:val="24"/>
        </w:rPr>
        <w:t>年末，序号1，2光</w:t>
      </w:r>
      <w:proofErr w:type="gramStart"/>
      <w:r w:rsidRPr="00B51B7C">
        <w:rPr>
          <w:rFonts w:asciiTheme="minorEastAsia" w:hAnsiTheme="minorEastAsia" w:cs="Arial" w:hint="eastAsia"/>
          <w:sz w:val="24"/>
        </w:rPr>
        <w:t>伏资产组存在</w:t>
      </w:r>
      <w:proofErr w:type="gramEnd"/>
      <w:r w:rsidRPr="00B51B7C">
        <w:rPr>
          <w:rFonts w:asciiTheme="minorEastAsia" w:hAnsiTheme="minorEastAsia" w:cs="Arial" w:hint="eastAsia"/>
          <w:sz w:val="24"/>
        </w:rPr>
        <w:t>减值迹象，主要基于：1）大部分资产</w:t>
      </w:r>
      <w:proofErr w:type="gramStart"/>
      <w:r w:rsidRPr="00B51B7C">
        <w:rPr>
          <w:rFonts w:asciiTheme="minorEastAsia" w:hAnsiTheme="minorEastAsia" w:cs="Arial" w:hint="eastAsia"/>
          <w:sz w:val="24"/>
        </w:rPr>
        <w:t>组处于</w:t>
      </w:r>
      <w:proofErr w:type="gramEnd"/>
      <w:r w:rsidRPr="00B51B7C">
        <w:rPr>
          <w:rFonts w:asciiTheme="minorEastAsia" w:hAnsiTheme="minorEastAsia" w:cs="Arial" w:hint="eastAsia"/>
          <w:sz w:val="24"/>
        </w:rPr>
        <w:t>停工状态；2）光伏电池及组件在报告期内平均价格</w:t>
      </w:r>
      <w:proofErr w:type="gramStart"/>
      <w:r w:rsidRPr="00B51B7C">
        <w:rPr>
          <w:rFonts w:asciiTheme="minorEastAsia" w:hAnsiTheme="minorEastAsia" w:cs="Arial" w:hint="eastAsia"/>
          <w:sz w:val="24"/>
        </w:rPr>
        <w:t>跌幅超</w:t>
      </w:r>
      <w:proofErr w:type="gramEnd"/>
      <w:r w:rsidRPr="00B51B7C">
        <w:rPr>
          <w:rFonts w:asciiTheme="minorEastAsia" w:hAnsiTheme="minorEastAsia" w:cs="Arial" w:hint="eastAsia"/>
          <w:sz w:val="24"/>
        </w:rPr>
        <w:t>3</w:t>
      </w:r>
      <w:r w:rsidRPr="00B51B7C">
        <w:rPr>
          <w:rFonts w:asciiTheme="minorEastAsia" w:hAnsiTheme="minorEastAsia" w:cs="Arial"/>
          <w:sz w:val="24"/>
        </w:rPr>
        <w:t>0%</w:t>
      </w:r>
      <w:r w:rsidRPr="00B51B7C">
        <w:rPr>
          <w:rFonts w:asciiTheme="minorEastAsia" w:hAnsiTheme="minorEastAsia" w:cs="Arial" w:hint="eastAsia"/>
          <w:sz w:val="24"/>
        </w:rPr>
        <w:t>；3）</w:t>
      </w:r>
      <w:r w:rsidRPr="00B51B7C">
        <w:rPr>
          <w:rFonts w:asciiTheme="minorEastAsia" w:hAnsiTheme="minorEastAsia" w:hint="eastAsia"/>
          <w:sz w:val="24"/>
        </w:rPr>
        <w:t>技术更新迭代，</w:t>
      </w:r>
      <w:proofErr w:type="spellStart"/>
      <w:r w:rsidRPr="00B51B7C">
        <w:rPr>
          <w:rFonts w:asciiTheme="minorEastAsia" w:hAnsiTheme="minorEastAsia" w:hint="eastAsia"/>
          <w:sz w:val="24"/>
        </w:rPr>
        <w:t>T</w:t>
      </w:r>
      <w:r w:rsidRPr="00B51B7C">
        <w:rPr>
          <w:rFonts w:asciiTheme="minorEastAsia" w:hAnsiTheme="minorEastAsia"/>
          <w:sz w:val="24"/>
        </w:rPr>
        <w:t>OPC</w:t>
      </w:r>
      <w:r w:rsidRPr="00B51B7C">
        <w:rPr>
          <w:rFonts w:asciiTheme="minorEastAsia" w:hAnsiTheme="minorEastAsia" w:hint="eastAsia"/>
          <w:sz w:val="24"/>
        </w:rPr>
        <w:t>on</w:t>
      </w:r>
      <w:proofErr w:type="spellEnd"/>
      <w:r w:rsidRPr="00B51B7C">
        <w:rPr>
          <w:rFonts w:asciiTheme="minorEastAsia" w:hAnsiTheme="minorEastAsia" w:hint="eastAsia"/>
          <w:sz w:val="24"/>
        </w:rPr>
        <w:t>技术代替P</w:t>
      </w:r>
      <w:r w:rsidRPr="00B51B7C">
        <w:rPr>
          <w:rFonts w:asciiTheme="minorEastAsia" w:hAnsiTheme="minorEastAsia"/>
          <w:sz w:val="24"/>
        </w:rPr>
        <w:t>ERC</w:t>
      </w:r>
      <w:r w:rsidRPr="00B51B7C">
        <w:rPr>
          <w:rFonts w:asciiTheme="minorEastAsia" w:hAnsiTheme="minorEastAsia" w:hint="eastAsia"/>
          <w:sz w:val="24"/>
        </w:rPr>
        <w:t>技术成为市场主流，资产组较多为P</w:t>
      </w:r>
      <w:r w:rsidRPr="00B51B7C">
        <w:rPr>
          <w:rFonts w:asciiTheme="minorEastAsia" w:hAnsiTheme="minorEastAsia"/>
          <w:sz w:val="24"/>
        </w:rPr>
        <w:t>ERC</w:t>
      </w:r>
      <w:r w:rsidRPr="00B51B7C">
        <w:rPr>
          <w:rFonts w:asciiTheme="minorEastAsia" w:hAnsiTheme="minorEastAsia" w:hint="eastAsia"/>
          <w:sz w:val="24"/>
        </w:rPr>
        <w:t>技术。</w:t>
      </w:r>
    </w:p>
    <w:p w14:paraId="3D0FA805" w14:textId="05FC8B7E"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hint="eastAsia"/>
          <w:sz w:val="24"/>
        </w:rPr>
        <w:t>2</w:t>
      </w:r>
      <w:r w:rsidRPr="00B51B7C">
        <w:rPr>
          <w:rFonts w:asciiTheme="minorEastAsia" w:hAnsiTheme="minorEastAsia"/>
          <w:sz w:val="24"/>
        </w:rPr>
        <w:t>024</w:t>
      </w:r>
      <w:r w:rsidRPr="00B51B7C">
        <w:rPr>
          <w:rFonts w:asciiTheme="minorEastAsia" w:hAnsiTheme="minorEastAsia" w:hint="eastAsia"/>
          <w:sz w:val="24"/>
        </w:rPr>
        <w:t>年末，序号3光纤、</w:t>
      </w:r>
      <w:proofErr w:type="gramStart"/>
      <w:r w:rsidRPr="00B51B7C">
        <w:rPr>
          <w:rFonts w:asciiTheme="minorEastAsia" w:hAnsiTheme="minorEastAsia" w:hint="eastAsia"/>
          <w:sz w:val="24"/>
        </w:rPr>
        <w:t>光棒资产组存在</w:t>
      </w:r>
      <w:proofErr w:type="gramEnd"/>
      <w:r w:rsidRPr="00B51B7C">
        <w:rPr>
          <w:rFonts w:asciiTheme="minorEastAsia" w:hAnsiTheme="minorEastAsia" w:hint="eastAsia"/>
          <w:sz w:val="24"/>
        </w:rPr>
        <w:t>减值迹象，主要基于：1）</w:t>
      </w:r>
      <w:r w:rsidRPr="00B51B7C">
        <w:rPr>
          <w:rFonts w:asciiTheme="minorEastAsia" w:hAnsiTheme="minorEastAsia" w:cs="Arial" w:hint="eastAsia"/>
          <w:sz w:val="24"/>
        </w:rPr>
        <w:t>2024年，相关市场发生变化。随着运营商网络建设高峰期已过，5G建设推进未达预期，导致国内光纤光缆等产能进一步过剩，光纤、</w:t>
      </w:r>
      <w:proofErr w:type="gramStart"/>
      <w:r w:rsidRPr="00B51B7C">
        <w:rPr>
          <w:rFonts w:asciiTheme="minorEastAsia" w:hAnsiTheme="minorEastAsia" w:cs="Arial" w:hint="eastAsia"/>
          <w:sz w:val="24"/>
        </w:rPr>
        <w:t>光棒销售</w:t>
      </w:r>
      <w:proofErr w:type="gramEnd"/>
      <w:r w:rsidRPr="00B51B7C">
        <w:rPr>
          <w:rFonts w:asciiTheme="minorEastAsia" w:hAnsiTheme="minorEastAsia" w:cs="Arial" w:hint="eastAsia"/>
          <w:sz w:val="24"/>
        </w:rPr>
        <w:t>价格较 2023 年下降 36%左右，毛利率由10%下滑至-53%</w:t>
      </w:r>
      <w:r w:rsidR="00033FB4" w:rsidRPr="00B51B7C">
        <w:rPr>
          <w:rFonts w:asciiTheme="minorEastAsia" w:hAnsiTheme="minorEastAsia" w:cs="Arial" w:hint="eastAsia"/>
          <w:sz w:val="24"/>
        </w:rPr>
        <w:t>；</w:t>
      </w:r>
      <w:r w:rsidRPr="00B51B7C">
        <w:rPr>
          <w:rFonts w:asciiTheme="minorEastAsia" w:hAnsiTheme="minorEastAsia" w:cs="Arial" w:hint="eastAsia"/>
          <w:sz w:val="24"/>
        </w:rPr>
        <w:t>2）受公司破产重整影响，销售订单承接大幅受限，产能利用率大幅下滑，同比下滑比例约61%，客户流失严重；3）相关在建工程受整体市场低迷、资金紧张等多重影响，调试不及预期，未按预期转固。</w:t>
      </w:r>
    </w:p>
    <w:p w14:paraId="1CAD9B84"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（4）资产评估情况</w:t>
      </w:r>
    </w:p>
    <w:p w14:paraId="4B33C64F"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公司聘请了评估机构对上述已发生减值迹象的资产组进行评估。</w:t>
      </w:r>
    </w:p>
    <w:p w14:paraId="1C4B96C0"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本次对于上述资产减值损失的确定依据为厦门</w:t>
      </w:r>
      <w:proofErr w:type="gramStart"/>
      <w:r w:rsidRPr="00B51B7C">
        <w:rPr>
          <w:rFonts w:asciiTheme="minorEastAsia" w:hAnsiTheme="minorEastAsia" w:cs="Arial" w:hint="eastAsia"/>
          <w:sz w:val="24"/>
        </w:rPr>
        <w:t>嘉学资产</w:t>
      </w:r>
      <w:proofErr w:type="gramEnd"/>
      <w:r w:rsidRPr="00B51B7C">
        <w:rPr>
          <w:rFonts w:asciiTheme="minorEastAsia" w:hAnsiTheme="minorEastAsia" w:cs="Arial" w:hint="eastAsia"/>
          <w:sz w:val="24"/>
        </w:rPr>
        <w:t>评估房地产估价有限公司出具的《江苏中利集团股份有限公司及其17家下属子公司拟资产减值测试涉及的相关设备资产组资产评估报告》（</w:t>
      </w:r>
      <w:proofErr w:type="gramStart"/>
      <w:r w:rsidRPr="00B51B7C">
        <w:rPr>
          <w:rFonts w:asciiTheme="minorEastAsia" w:hAnsiTheme="minorEastAsia" w:cs="Arial" w:hint="eastAsia"/>
          <w:sz w:val="24"/>
        </w:rPr>
        <w:t>嘉学评估</w:t>
      </w:r>
      <w:proofErr w:type="gramEnd"/>
      <w:r w:rsidRPr="00B51B7C">
        <w:rPr>
          <w:rFonts w:asciiTheme="minorEastAsia" w:hAnsiTheme="minorEastAsia" w:cs="Arial" w:hint="eastAsia"/>
          <w:sz w:val="24"/>
        </w:rPr>
        <w:t>评报字〔2025〕8310015号）及《青海中利光纤技术有限公司拟资产减值测试涉及的设备资产组资产评估报告》（</w:t>
      </w:r>
      <w:proofErr w:type="gramStart"/>
      <w:r w:rsidRPr="00B51B7C">
        <w:rPr>
          <w:rFonts w:asciiTheme="minorEastAsia" w:hAnsiTheme="minorEastAsia" w:cs="Arial" w:hint="eastAsia"/>
          <w:sz w:val="24"/>
        </w:rPr>
        <w:t>嘉学评估</w:t>
      </w:r>
      <w:proofErr w:type="gramEnd"/>
      <w:r w:rsidRPr="00B51B7C">
        <w:rPr>
          <w:rFonts w:asciiTheme="minorEastAsia" w:hAnsiTheme="minorEastAsia" w:cs="Arial" w:hint="eastAsia"/>
          <w:sz w:val="24"/>
        </w:rPr>
        <w:t>评报字〔2025〕8310037号），根据资产评估报告，对上述资产进行资产减值测试的确认方法。</w:t>
      </w:r>
    </w:p>
    <w:p w14:paraId="1AE2F342"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对上表序号1、2光</w:t>
      </w:r>
      <w:proofErr w:type="gramStart"/>
      <w:r w:rsidRPr="00B51B7C">
        <w:rPr>
          <w:rFonts w:asciiTheme="minorEastAsia" w:hAnsiTheme="minorEastAsia" w:cs="Arial" w:hint="eastAsia"/>
          <w:sz w:val="24"/>
        </w:rPr>
        <w:t>伏设备</w:t>
      </w:r>
      <w:proofErr w:type="gramEnd"/>
      <w:r w:rsidRPr="00B51B7C">
        <w:rPr>
          <w:rFonts w:asciiTheme="minorEastAsia" w:hAnsiTheme="minorEastAsia" w:cs="Arial" w:hint="eastAsia"/>
          <w:sz w:val="24"/>
        </w:rPr>
        <w:t>资产组采用公允价值减处置费用后的净额确定资产组的可收回金额，截至本次评估基准日，该资产</w:t>
      </w:r>
      <w:proofErr w:type="gramStart"/>
      <w:r w:rsidRPr="00B51B7C">
        <w:rPr>
          <w:rFonts w:asciiTheme="minorEastAsia" w:hAnsiTheme="minorEastAsia" w:cs="Arial" w:hint="eastAsia"/>
          <w:sz w:val="24"/>
        </w:rPr>
        <w:t>组基本</w:t>
      </w:r>
      <w:proofErr w:type="gramEnd"/>
      <w:r w:rsidRPr="00B51B7C">
        <w:rPr>
          <w:rFonts w:asciiTheme="minorEastAsia" w:hAnsiTheme="minorEastAsia" w:cs="Arial" w:hint="eastAsia"/>
          <w:sz w:val="24"/>
        </w:rPr>
        <w:t>处于停工状态。根据公司对于市场 的预测，目前复工时间尚未明确，在此情况下，难以对资产</w:t>
      </w:r>
      <w:proofErr w:type="gramStart"/>
      <w:r w:rsidRPr="00B51B7C">
        <w:rPr>
          <w:rFonts w:asciiTheme="minorEastAsia" w:hAnsiTheme="minorEastAsia" w:cs="Arial" w:hint="eastAsia"/>
          <w:sz w:val="24"/>
        </w:rPr>
        <w:t>组涉及</w:t>
      </w:r>
      <w:proofErr w:type="gramEnd"/>
      <w:r w:rsidRPr="00B51B7C">
        <w:rPr>
          <w:rFonts w:asciiTheme="minorEastAsia" w:hAnsiTheme="minorEastAsia" w:cs="Arial" w:hint="eastAsia"/>
          <w:sz w:val="24"/>
        </w:rPr>
        <w:t>的</w:t>
      </w:r>
      <w:r w:rsidRPr="00B51B7C">
        <w:rPr>
          <w:rFonts w:asciiTheme="minorEastAsia" w:hAnsiTheme="minorEastAsia" w:cs="Arial" w:hint="eastAsia"/>
          <w:sz w:val="24"/>
        </w:rPr>
        <w:lastRenderedPageBreak/>
        <w:t>相关业务</w:t>
      </w:r>
      <w:proofErr w:type="gramStart"/>
      <w:r w:rsidRPr="00B51B7C">
        <w:rPr>
          <w:rFonts w:asciiTheme="minorEastAsia" w:hAnsiTheme="minorEastAsia" w:cs="Arial" w:hint="eastAsia"/>
          <w:sz w:val="24"/>
        </w:rPr>
        <w:t>作出</w:t>
      </w:r>
      <w:proofErr w:type="gramEnd"/>
      <w:r w:rsidRPr="00B51B7C">
        <w:rPr>
          <w:rFonts w:asciiTheme="minorEastAsia" w:hAnsiTheme="minorEastAsia" w:cs="Arial" w:hint="eastAsia"/>
          <w:sz w:val="24"/>
        </w:rPr>
        <w:t>可靠的盈利预测。因此，按会计准则和评估准则的相关规定，不适宜采用现金流量折现法进行评估。故本次对</w:t>
      </w:r>
      <w:proofErr w:type="gramStart"/>
      <w:r w:rsidRPr="00B51B7C">
        <w:rPr>
          <w:rFonts w:asciiTheme="minorEastAsia" w:hAnsiTheme="minorEastAsia" w:cs="Arial" w:hint="eastAsia"/>
          <w:sz w:val="24"/>
        </w:rPr>
        <w:t>委估范围</w:t>
      </w:r>
      <w:proofErr w:type="gramEnd"/>
      <w:r w:rsidRPr="00B51B7C">
        <w:rPr>
          <w:rFonts w:asciiTheme="minorEastAsia" w:hAnsiTheme="minorEastAsia" w:cs="Arial" w:hint="eastAsia"/>
          <w:sz w:val="24"/>
        </w:rPr>
        <w:t>内各项资产分别采用市场途径进行评估，并将各资产的评估值进行加总计算，从而得出资产组的公允价值。在此基础上，扣除相应的处置费用，即确定公允价值减处置费用的净额，进而确定上述光</w:t>
      </w:r>
      <w:proofErr w:type="gramStart"/>
      <w:r w:rsidRPr="00B51B7C">
        <w:rPr>
          <w:rFonts w:asciiTheme="minorEastAsia" w:hAnsiTheme="minorEastAsia" w:cs="Arial" w:hint="eastAsia"/>
          <w:sz w:val="24"/>
        </w:rPr>
        <w:t>伏设备</w:t>
      </w:r>
      <w:proofErr w:type="gramEnd"/>
      <w:r w:rsidRPr="00B51B7C">
        <w:rPr>
          <w:rFonts w:asciiTheme="minorEastAsia" w:hAnsiTheme="minorEastAsia" w:cs="Arial" w:hint="eastAsia"/>
          <w:sz w:val="24"/>
        </w:rPr>
        <w:t>资产组的可收回金额。</w:t>
      </w:r>
    </w:p>
    <w:p w14:paraId="0F9AE49A"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对上表序号3光纤、</w:t>
      </w:r>
      <w:proofErr w:type="gramStart"/>
      <w:r w:rsidRPr="00B51B7C">
        <w:rPr>
          <w:rFonts w:asciiTheme="minorEastAsia" w:hAnsiTheme="minorEastAsia" w:cs="Arial" w:hint="eastAsia"/>
          <w:sz w:val="24"/>
        </w:rPr>
        <w:t>光棒资产组</w:t>
      </w:r>
      <w:proofErr w:type="gramEnd"/>
      <w:r w:rsidRPr="00B51B7C">
        <w:rPr>
          <w:rFonts w:asciiTheme="minorEastAsia" w:hAnsiTheme="minorEastAsia" w:cs="Arial" w:hint="eastAsia"/>
          <w:sz w:val="24"/>
        </w:rPr>
        <w:t>采用现金流量折现法确定资产组的可收回金额，考虑到该部分资产为光纤、</w:t>
      </w:r>
      <w:proofErr w:type="gramStart"/>
      <w:r w:rsidRPr="00B51B7C">
        <w:rPr>
          <w:rFonts w:asciiTheme="minorEastAsia" w:hAnsiTheme="minorEastAsia" w:cs="Arial" w:hint="eastAsia"/>
          <w:sz w:val="24"/>
        </w:rPr>
        <w:t>光棒设备</w:t>
      </w:r>
      <w:proofErr w:type="gramEnd"/>
      <w:r w:rsidRPr="00B51B7C">
        <w:rPr>
          <w:rFonts w:asciiTheme="minorEastAsia" w:hAnsiTheme="minorEastAsia" w:cs="Arial" w:hint="eastAsia"/>
          <w:sz w:val="24"/>
        </w:rPr>
        <w:t>资产组，未发现有该资产组在公平交易中的销售协议价格；也未发现存在一个与该资产</w:t>
      </w:r>
      <w:proofErr w:type="gramStart"/>
      <w:r w:rsidRPr="00B51B7C">
        <w:rPr>
          <w:rFonts w:asciiTheme="minorEastAsia" w:hAnsiTheme="minorEastAsia" w:cs="Arial" w:hint="eastAsia"/>
          <w:sz w:val="24"/>
        </w:rPr>
        <w:t>组相同</w:t>
      </w:r>
      <w:proofErr w:type="gramEnd"/>
      <w:r w:rsidRPr="00B51B7C">
        <w:rPr>
          <w:rFonts w:asciiTheme="minorEastAsia" w:hAnsiTheme="minorEastAsia" w:cs="Arial" w:hint="eastAsia"/>
          <w:sz w:val="24"/>
        </w:rPr>
        <w:t>的活跃交易市场；也缺乏或难以取得同行业类似资产组的最近交易价格或者结果。因此，难以按照企业会计准则的前述要求利用“资产组可收回金额=资产组在公平交易中销售协议价格-可直接归属于该资产组处置费用”或“资产组可收回金额=资产组的市场价格或资产组的买方出价-该资产组处置费用”或“参考同行业类似资产的最近交易价格或者结果，估计资产的公允价值减去处置费用后的净额”等方法直接确定资产组可收回金额。</w:t>
      </w:r>
    </w:p>
    <w:p w14:paraId="44408F35"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但按照《企业会计准则第39号——公允价值计量》的规定，可以采用在当前情况下适用并且有足够可利用数据和其他信息支持的估值技术来估算光纤、</w:t>
      </w:r>
      <w:proofErr w:type="gramStart"/>
      <w:r w:rsidRPr="00B51B7C">
        <w:rPr>
          <w:rFonts w:asciiTheme="minorEastAsia" w:hAnsiTheme="minorEastAsia" w:cs="Arial" w:hint="eastAsia"/>
          <w:sz w:val="24"/>
        </w:rPr>
        <w:t>光棒设备</w:t>
      </w:r>
      <w:proofErr w:type="gramEnd"/>
      <w:r w:rsidRPr="00B51B7C">
        <w:rPr>
          <w:rFonts w:asciiTheme="minorEastAsia" w:hAnsiTheme="minorEastAsia" w:cs="Arial" w:hint="eastAsia"/>
          <w:sz w:val="24"/>
        </w:rPr>
        <w:t>资产组的公允价值，再考虑合理的处置费用扣除后，得到该资产组可收回金额。</w:t>
      </w:r>
    </w:p>
    <w:p w14:paraId="7BC2C4FC"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本次评估中，由于光纤、</w:t>
      </w:r>
      <w:proofErr w:type="gramStart"/>
      <w:r w:rsidRPr="00B51B7C">
        <w:rPr>
          <w:rFonts w:asciiTheme="minorEastAsia" w:hAnsiTheme="minorEastAsia" w:cs="Arial" w:hint="eastAsia"/>
          <w:sz w:val="24"/>
        </w:rPr>
        <w:t>光棒资产</w:t>
      </w:r>
      <w:proofErr w:type="gramEnd"/>
      <w:r w:rsidRPr="00B51B7C">
        <w:rPr>
          <w:rFonts w:asciiTheme="minorEastAsia" w:hAnsiTheme="minorEastAsia" w:cs="Arial" w:hint="eastAsia"/>
          <w:sz w:val="24"/>
        </w:rPr>
        <w:t>的市场交易各有特点，可比性较差，修正参数缺乏，缺乏同行业类似资产组的最近交易价格或者结果。并基于企业对资产组预计的使用安排、经营规划及盈利预测，假设相关经营情况继续保持，且企业处于行业正常经营管理能力水平，没有市场因素或者其他因素表明市场参与者按照其他方式使用该资产可以实现价值最大化，通常认为光纤、</w:t>
      </w:r>
      <w:proofErr w:type="gramStart"/>
      <w:r w:rsidRPr="00B51B7C">
        <w:rPr>
          <w:rFonts w:asciiTheme="minorEastAsia" w:hAnsiTheme="minorEastAsia" w:cs="Arial" w:hint="eastAsia"/>
          <w:sz w:val="24"/>
        </w:rPr>
        <w:t>光棒设备</w:t>
      </w:r>
      <w:proofErr w:type="gramEnd"/>
      <w:r w:rsidRPr="00B51B7C">
        <w:rPr>
          <w:rFonts w:asciiTheme="minorEastAsia" w:hAnsiTheme="minorEastAsia" w:cs="Arial" w:hint="eastAsia"/>
          <w:sz w:val="24"/>
        </w:rPr>
        <w:t>资产组的预计未来净现金流量现值与公允价值并不存在明显差异。在考虑资产组处置费用的情况下，光纤、</w:t>
      </w:r>
      <w:proofErr w:type="gramStart"/>
      <w:r w:rsidRPr="00B51B7C">
        <w:rPr>
          <w:rFonts w:asciiTheme="minorEastAsia" w:hAnsiTheme="minorEastAsia" w:cs="Arial" w:hint="eastAsia"/>
          <w:sz w:val="24"/>
        </w:rPr>
        <w:t>光棒设备</w:t>
      </w:r>
      <w:proofErr w:type="gramEnd"/>
      <w:r w:rsidRPr="00B51B7C">
        <w:rPr>
          <w:rFonts w:asciiTheme="minorEastAsia" w:hAnsiTheme="minorEastAsia" w:cs="Arial" w:hint="eastAsia"/>
          <w:sz w:val="24"/>
        </w:rPr>
        <w:t>资产组的预计未来净现金流量现值则会大于等于公允价值减去处置费用的净额。因此，按会计准则和评估准则的相关规定，本次评估采用现金流折现法确定光纤、</w:t>
      </w:r>
      <w:proofErr w:type="gramStart"/>
      <w:r w:rsidRPr="00B51B7C">
        <w:rPr>
          <w:rFonts w:asciiTheme="minorEastAsia" w:hAnsiTheme="minorEastAsia" w:cs="Arial" w:hint="eastAsia"/>
          <w:sz w:val="24"/>
        </w:rPr>
        <w:t>光棒设备</w:t>
      </w:r>
      <w:proofErr w:type="gramEnd"/>
      <w:r w:rsidRPr="00B51B7C">
        <w:rPr>
          <w:rFonts w:asciiTheme="minorEastAsia" w:hAnsiTheme="minorEastAsia" w:cs="Arial" w:hint="eastAsia"/>
          <w:sz w:val="24"/>
        </w:rPr>
        <w:t>资产组预计未来现金流量的现值，进而确定光纤、</w:t>
      </w:r>
      <w:proofErr w:type="gramStart"/>
      <w:r w:rsidRPr="00B51B7C">
        <w:rPr>
          <w:rFonts w:asciiTheme="minorEastAsia" w:hAnsiTheme="minorEastAsia" w:cs="Arial" w:hint="eastAsia"/>
          <w:sz w:val="24"/>
        </w:rPr>
        <w:t>光棒设备</w:t>
      </w:r>
      <w:proofErr w:type="gramEnd"/>
      <w:r w:rsidRPr="00B51B7C">
        <w:rPr>
          <w:rFonts w:asciiTheme="minorEastAsia" w:hAnsiTheme="minorEastAsia" w:cs="Arial" w:hint="eastAsia"/>
          <w:sz w:val="24"/>
        </w:rPr>
        <w:t>资产组的可收回金额。</w:t>
      </w:r>
    </w:p>
    <w:p w14:paraId="7A0BE47D"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本次基于《企业会计准则第 8 号——资产减值》以及《企业会计准则应用指南汇编（2024）——第九章 资产减值》等的相关要求，采用公允价值减去处</w:t>
      </w:r>
      <w:r w:rsidRPr="00B51B7C">
        <w:rPr>
          <w:rFonts w:asciiTheme="minorEastAsia" w:hAnsiTheme="minorEastAsia" w:cs="Arial" w:hint="eastAsia"/>
          <w:sz w:val="24"/>
        </w:rPr>
        <w:lastRenderedPageBreak/>
        <w:t>置费用后的净额与资产预计未来现金流量的现值的一种或两种方法，并按照</w:t>
      </w:r>
      <w:proofErr w:type="gramStart"/>
      <w:r w:rsidRPr="00B51B7C">
        <w:rPr>
          <w:rFonts w:asciiTheme="minorEastAsia" w:hAnsiTheme="minorEastAsia" w:cs="Arial" w:hint="eastAsia"/>
          <w:sz w:val="24"/>
        </w:rPr>
        <w:t>孰</w:t>
      </w:r>
      <w:proofErr w:type="gramEnd"/>
      <w:r w:rsidRPr="00B51B7C">
        <w:rPr>
          <w:rFonts w:asciiTheme="minorEastAsia" w:hAnsiTheme="minorEastAsia" w:cs="Arial" w:hint="eastAsia"/>
          <w:sz w:val="24"/>
        </w:rPr>
        <w:t>高原则，同时结合相关资产组的使用及运营状况综合确定其可收回金额具备合理性。</w:t>
      </w:r>
    </w:p>
    <w:p w14:paraId="354993CF" w14:textId="77777777" w:rsidR="0006192A" w:rsidRPr="00B51B7C" w:rsidRDefault="0006192A" w:rsidP="0006192A">
      <w:pPr>
        <w:tabs>
          <w:tab w:val="left" w:pos="0"/>
          <w:tab w:val="left" w:pos="720"/>
        </w:tabs>
        <w:autoSpaceDE w:val="0"/>
        <w:autoSpaceDN w:val="0"/>
        <w:snapToGrid w:val="0"/>
        <w:spacing w:line="360" w:lineRule="auto"/>
        <w:ind w:firstLineChars="200" w:firstLine="480"/>
        <w:textAlignment w:val="bottom"/>
        <w:rPr>
          <w:rFonts w:asciiTheme="minorEastAsia" w:hAnsiTheme="minorEastAsia" w:cs="Arial"/>
          <w:sz w:val="24"/>
        </w:rPr>
      </w:pPr>
      <w:r w:rsidRPr="00B51B7C">
        <w:rPr>
          <w:rFonts w:asciiTheme="minorEastAsia" w:hAnsiTheme="minorEastAsia" w:cs="Arial" w:hint="eastAsia"/>
          <w:sz w:val="24"/>
        </w:rPr>
        <w:t>综上，公司计提信用减值损失、资产减值损失均基于企业会计准则相关要求并结合公司整体运营状况综合</w:t>
      </w:r>
      <w:proofErr w:type="gramStart"/>
      <w:r w:rsidRPr="00B51B7C">
        <w:rPr>
          <w:rFonts w:asciiTheme="minorEastAsia" w:hAnsiTheme="minorEastAsia" w:cs="Arial" w:hint="eastAsia"/>
          <w:sz w:val="24"/>
        </w:rPr>
        <w:t>研</w:t>
      </w:r>
      <w:proofErr w:type="gramEnd"/>
      <w:r w:rsidRPr="00B51B7C">
        <w:rPr>
          <w:rFonts w:asciiTheme="minorEastAsia" w:hAnsiTheme="minorEastAsia" w:cs="Arial" w:hint="eastAsia"/>
          <w:sz w:val="24"/>
        </w:rPr>
        <w:t>判的结果，2024年及以前年度计提充分、合理。</w:t>
      </w:r>
    </w:p>
    <w:p w14:paraId="10AC7733" w14:textId="77777777" w:rsidR="00CE1D84" w:rsidRPr="00B51B7C" w:rsidRDefault="00796C84" w:rsidP="00776CA4">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会计师回复：</w:t>
      </w:r>
    </w:p>
    <w:p w14:paraId="0C08F871" w14:textId="47AE9C3C" w:rsidR="00776CA4" w:rsidRPr="00B51B7C" w:rsidRDefault="00776CA4" w:rsidP="00776CA4">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针对上述事项，我们实施了以下主要核查程序：</w:t>
      </w:r>
    </w:p>
    <w:p w14:paraId="2A2CD313" w14:textId="0CC437AD" w:rsidR="00776CA4" w:rsidRPr="00B51B7C" w:rsidRDefault="00776CA4" w:rsidP="00776CA4">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1.固定资产、在建工程减值损失：</w:t>
      </w:r>
    </w:p>
    <w:p w14:paraId="2F8CEDF1" w14:textId="4DB27AB9"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（1）了解、测试和评价与</w:t>
      </w:r>
      <w:r w:rsidR="002F4195" w:rsidRPr="00B51B7C">
        <w:rPr>
          <w:rFonts w:asciiTheme="minorEastAsia" w:hAnsiTheme="minorEastAsia" w:cs="Times" w:hint="eastAsia"/>
          <w:kern w:val="0"/>
          <w:sz w:val="24"/>
          <w:szCs w:val="24"/>
        </w:rPr>
        <w:t>长期</w:t>
      </w:r>
      <w:r w:rsidRPr="00B51B7C">
        <w:rPr>
          <w:rFonts w:asciiTheme="minorEastAsia" w:hAnsiTheme="minorEastAsia" w:cs="Times" w:hint="eastAsia"/>
          <w:kern w:val="0"/>
          <w:sz w:val="24"/>
          <w:szCs w:val="24"/>
        </w:rPr>
        <w:t xml:space="preserve">资产减值测试相关内部控制的设计和执行的有效性； </w:t>
      </w:r>
    </w:p>
    <w:p w14:paraId="4C90FD6F" w14:textId="77777777"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（2）获取管理层对资产是否存在减值迹象的判断依据，并复核管理层的判断是否与实际情况一致；</w:t>
      </w:r>
    </w:p>
    <w:p w14:paraId="71576A38" w14:textId="77777777"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（3）获取并复核管理层对存在减值迹象的资产或资产组的可回收金额估计明细表，判断管理层在做出会计估计时采用的关键参数的合理性，主要包括:</w:t>
      </w:r>
    </w:p>
    <w:p w14:paraId="4192D53D" w14:textId="77777777"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①评价外部评估专家的独立性和专业胜任能力，以及减值测试方法选取的适当性；②测试管理层减值测试所依据的基础数据，包括利用外部评估专家评估减值测试中所采用关键假设及关键参数选取的合理性；</w:t>
      </w:r>
    </w:p>
    <w:p w14:paraId="390B5868" w14:textId="77777777"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（4）重新计算资产减值的金额，以确定其准确性；</w:t>
      </w:r>
    </w:p>
    <w:p w14:paraId="33B4B65D" w14:textId="77777777"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（5）检查财务报告中与资产减值有关的披露。</w:t>
      </w:r>
    </w:p>
    <w:p w14:paraId="096C5FB8" w14:textId="1E4BDFF3" w:rsidR="00776CA4" w:rsidRPr="00B51B7C" w:rsidRDefault="00776CA4" w:rsidP="00776CA4">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2.存货减值损失：</w:t>
      </w:r>
    </w:p>
    <w:p w14:paraId="6D1A6CF8" w14:textId="42B6F07C"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 xml:space="preserve">（1）了解和评价管理层与存货跌价准备相关内部控制设计的有效性，并测试关键控制运行的有效性； </w:t>
      </w:r>
    </w:p>
    <w:p w14:paraId="29D34661" w14:textId="2AFED504"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（2）执行存货</w:t>
      </w:r>
      <w:proofErr w:type="gramStart"/>
      <w:r w:rsidRPr="00B51B7C">
        <w:rPr>
          <w:rFonts w:asciiTheme="minorEastAsia" w:hAnsiTheme="minorEastAsia" w:cs="Times" w:hint="eastAsia"/>
          <w:kern w:val="0"/>
          <w:sz w:val="24"/>
          <w:szCs w:val="24"/>
        </w:rPr>
        <w:t>的监盘程序</w:t>
      </w:r>
      <w:proofErr w:type="gramEnd"/>
      <w:r w:rsidRPr="00B51B7C">
        <w:rPr>
          <w:rFonts w:asciiTheme="minorEastAsia" w:hAnsiTheme="minorEastAsia" w:cs="Times" w:hint="eastAsia"/>
          <w:kern w:val="0"/>
          <w:sz w:val="24"/>
          <w:szCs w:val="24"/>
        </w:rPr>
        <w:t>,检查存货的数量及状况等；</w:t>
      </w:r>
    </w:p>
    <w:p w14:paraId="293FBA73" w14:textId="510F19AC"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（3）查询原材料和产成品价格变动情况，了解原材料和产成品价格的走势，分析存货可能产生跌价的风险；</w:t>
      </w:r>
    </w:p>
    <w:p w14:paraId="0CE0A4FF" w14:textId="7A2AE799"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（4）评价公司对存货可变现净值的计算方法是否合理，是否符合企业会计准则的规定；</w:t>
      </w:r>
    </w:p>
    <w:p w14:paraId="21268E99" w14:textId="03865E73"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（5）获取存货跌价准备计算表，检查是否按相关会计政策执行，执行存货减值重新计算程序，检查存货跌价准备金额是否准确，评价存货跌价准备计提是否充分；</w:t>
      </w:r>
    </w:p>
    <w:p w14:paraId="77B798ED" w14:textId="73AE86B1"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（6）评价管理</w:t>
      </w:r>
      <w:proofErr w:type="gramStart"/>
      <w:r w:rsidRPr="00B51B7C">
        <w:rPr>
          <w:rFonts w:asciiTheme="minorEastAsia" w:hAnsiTheme="minorEastAsia" w:cs="Times" w:hint="eastAsia"/>
          <w:kern w:val="0"/>
          <w:sz w:val="24"/>
          <w:szCs w:val="24"/>
        </w:rPr>
        <w:t>层于期末对</w:t>
      </w:r>
      <w:proofErr w:type="gramEnd"/>
      <w:r w:rsidRPr="00B51B7C">
        <w:rPr>
          <w:rFonts w:asciiTheme="minorEastAsia" w:hAnsiTheme="minorEastAsia" w:cs="Times" w:hint="eastAsia"/>
          <w:kern w:val="0"/>
          <w:sz w:val="24"/>
          <w:szCs w:val="24"/>
        </w:rPr>
        <w:t>存货跌价准备的会计处理及披露。</w:t>
      </w:r>
    </w:p>
    <w:p w14:paraId="798C61A7" w14:textId="4E19B658" w:rsidR="00776CA4" w:rsidRPr="00B51B7C" w:rsidRDefault="00776CA4" w:rsidP="00776CA4">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lastRenderedPageBreak/>
        <w:t>3.应收款项信用减值损失：</w:t>
      </w:r>
    </w:p>
    <w:p w14:paraId="2F226640" w14:textId="3F795C78"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 xml:space="preserve">（1）对江苏中利应收款项管理、坏账准备计提相关的内部控制设计合理性及运行有效性进行评价和测试； </w:t>
      </w:r>
    </w:p>
    <w:p w14:paraId="55B97C9E" w14:textId="1575A0F6"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 xml:space="preserve">（2）了解和评估应收款项坏账准备政策，分析应收款项预期信用损失计提的准确性。对于按组合计提坏账的应收款项，复核管理层对组合的划分依据，评估其对未来经济状况的预测以及对不同组合估计预期信用损失率的合理性，关注应收款项逾期情况、逾期应收款项期后回款情况以及历史上实际发生坏账金额等关键信息。 </w:t>
      </w:r>
    </w:p>
    <w:p w14:paraId="47EE8B4B" w14:textId="6F69B4D4"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（3）获取江苏中</w:t>
      </w:r>
      <w:proofErr w:type="gramStart"/>
      <w:r w:rsidRPr="00B51B7C">
        <w:rPr>
          <w:rFonts w:asciiTheme="minorEastAsia" w:hAnsiTheme="minorEastAsia" w:cs="Times" w:hint="eastAsia"/>
          <w:kern w:val="0"/>
          <w:sz w:val="24"/>
          <w:szCs w:val="24"/>
        </w:rPr>
        <w:t>利管理</w:t>
      </w:r>
      <w:proofErr w:type="gramEnd"/>
      <w:r w:rsidRPr="00B51B7C">
        <w:rPr>
          <w:rFonts w:asciiTheme="minorEastAsia" w:hAnsiTheme="minorEastAsia" w:cs="Times" w:hint="eastAsia"/>
          <w:kern w:val="0"/>
          <w:sz w:val="24"/>
          <w:szCs w:val="24"/>
        </w:rPr>
        <w:t xml:space="preserve">层编制的应收款项逾期账龄分析表，并选取样本对逾期账龄准确性进行测试； </w:t>
      </w:r>
    </w:p>
    <w:p w14:paraId="2562AA8B" w14:textId="3593F13F"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（4）选取按单项计提坏账准备的应收款项，测试其可收回性。在评估应收款项可收回性时，检查相关支持性证据，包括客户</w:t>
      </w:r>
      <w:r w:rsidR="00933E27" w:rsidRPr="00B51B7C">
        <w:rPr>
          <w:rFonts w:asciiTheme="minorEastAsia" w:hAnsiTheme="minorEastAsia" w:cs="Times" w:hint="eastAsia"/>
          <w:kern w:val="0"/>
          <w:sz w:val="24"/>
          <w:szCs w:val="24"/>
        </w:rPr>
        <w:t>资信状况</w:t>
      </w:r>
      <w:r w:rsidRPr="00B51B7C">
        <w:rPr>
          <w:rFonts w:asciiTheme="minorEastAsia" w:hAnsiTheme="minorEastAsia" w:cs="Times" w:hint="eastAsia"/>
          <w:kern w:val="0"/>
          <w:sz w:val="24"/>
          <w:szCs w:val="24"/>
        </w:rPr>
        <w:t xml:space="preserve">、抵押或质押物状况、提供的担保措施、违约或延迟付款记录及期后实际还款情况，并复核其合理性； </w:t>
      </w:r>
    </w:p>
    <w:p w14:paraId="5535585B" w14:textId="65A375A9"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（5）分析应收款项的账龄和客户信誉情况，并执行应收款项</w:t>
      </w:r>
      <w:proofErr w:type="gramStart"/>
      <w:r w:rsidRPr="00B51B7C">
        <w:rPr>
          <w:rFonts w:asciiTheme="minorEastAsia" w:hAnsiTheme="minorEastAsia" w:cs="Times" w:hint="eastAsia"/>
          <w:kern w:val="0"/>
          <w:sz w:val="24"/>
          <w:szCs w:val="24"/>
        </w:rPr>
        <w:t>函证程序</w:t>
      </w:r>
      <w:proofErr w:type="gramEnd"/>
      <w:r w:rsidRPr="00B51B7C">
        <w:rPr>
          <w:rFonts w:asciiTheme="minorEastAsia" w:hAnsiTheme="minorEastAsia" w:cs="Times" w:hint="eastAsia"/>
          <w:kern w:val="0"/>
          <w:sz w:val="24"/>
          <w:szCs w:val="24"/>
        </w:rPr>
        <w:t>及检查期后回款情况，再次评价应收款项坏账准备计提的合理性；</w:t>
      </w:r>
    </w:p>
    <w:p w14:paraId="18CF5959" w14:textId="77777777" w:rsidR="00776CA4" w:rsidRPr="00B51B7C" w:rsidRDefault="00776CA4" w:rsidP="00776CA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（6）复核财务报告中与坏账准备计提有关的披露。</w:t>
      </w:r>
    </w:p>
    <w:p w14:paraId="2FCD1A09" w14:textId="70E57F38" w:rsidR="00776CA4" w:rsidRPr="00B51B7C" w:rsidRDefault="00776CA4" w:rsidP="00776CA4">
      <w:pPr>
        <w:spacing w:line="360" w:lineRule="auto"/>
        <w:ind w:firstLineChars="200" w:firstLine="480"/>
        <w:rPr>
          <w:rFonts w:asciiTheme="minorEastAsia" w:hAnsiTheme="minorEastAsia" w:cs="宋体"/>
          <w:sz w:val="24"/>
          <w:szCs w:val="24"/>
          <w:lang w:val="zh-TW"/>
        </w:rPr>
      </w:pPr>
      <w:r w:rsidRPr="00B51B7C">
        <w:rPr>
          <w:rFonts w:asciiTheme="minorEastAsia" w:hAnsiTheme="minorEastAsia" w:cs="Times" w:hint="eastAsia"/>
          <w:kern w:val="0"/>
          <w:sz w:val="24"/>
          <w:szCs w:val="24"/>
        </w:rPr>
        <w:t>经核查，会计师认为：公司2024年度</w:t>
      </w:r>
      <w:r w:rsidR="00933E27" w:rsidRPr="00B51B7C">
        <w:rPr>
          <w:rFonts w:asciiTheme="minorEastAsia" w:hAnsiTheme="minorEastAsia" w:cs="Times" w:hint="eastAsia"/>
          <w:kern w:val="0"/>
          <w:sz w:val="24"/>
          <w:szCs w:val="24"/>
        </w:rPr>
        <w:t>及以前年度计提信用减值损失/资产减值损失充分、合理，</w:t>
      </w:r>
      <w:r w:rsidRPr="00B51B7C">
        <w:rPr>
          <w:rFonts w:asciiTheme="minorEastAsia" w:hAnsiTheme="minorEastAsia" w:cs="Times" w:hint="eastAsia"/>
          <w:kern w:val="0"/>
          <w:sz w:val="24"/>
          <w:szCs w:val="24"/>
        </w:rPr>
        <w:t>符合企业会计准则的规定。</w:t>
      </w:r>
    </w:p>
    <w:p w14:paraId="2C5CD3CE" w14:textId="77777777" w:rsidR="003F5258" w:rsidRPr="00B51B7C" w:rsidRDefault="00796C84" w:rsidP="003F5258">
      <w:pPr>
        <w:keepNext/>
        <w:keepLines/>
        <w:spacing w:line="360" w:lineRule="auto"/>
        <w:ind w:firstLineChars="200" w:firstLine="482"/>
        <w:outlineLvl w:val="1"/>
        <w:rPr>
          <w:rFonts w:asciiTheme="minorEastAsia" w:hAnsiTheme="minorEastAsia" w:cs="Times New Roman"/>
          <w:b/>
          <w:bCs/>
          <w:sz w:val="24"/>
          <w:szCs w:val="24"/>
        </w:rPr>
      </w:pPr>
      <w:r w:rsidRPr="00B51B7C">
        <w:rPr>
          <w:rFonts w:asciiTheme="minorEastAsia" w:hAnsiTheme="minorEastAsia" w:cs="Times New Roman" w:hint="eastAsia"/>
          <w:b/>
          <w:bCs/>
          <w:sz w:val="24"/>
          <w:szCs w:val="24"/>
        </w:rPr>
        <w:t>问题</w:t>
      </w:r>
      <w:r w:rsidR="00D273B4" w:rsidRPr="00B51B7C">
        <w:rPr>
          <w:rFonts w:asciiTheme="minorEastAsia" w:hAnsiTheme="minorEastAsia" w:cs="Times New Roman"/>
          <w:b/>
          <w:bCs/>
          <w:sz w:val="24"/>
          <w:szCs w:val="24"/>
        </w:rPr>
        <w:t>5</w:t>
      </w:r>
      <w:r w:rsidRPr="00B51B7C">
        <w:rPr>
          <w:rFonts w:asciiTheme="minorEastAsia" w:hAnsiTheme="minorEastAsia" w:cs="Times New Roman" w:hint="eastAsia"/>
          <w:b/>
          <w:bCs/>
          <w:sz w:val="24"/>
          <w:szCs w:val="24"/>
        </w:rPr>
        <w:t xml:space="preserve">. </w:t>
      </w:r>
    </w:p>
    <w:p w14:paraId="130809B7" w14:textId="6D7493F3" w:rsidR="00796C84" w:rsidRPr="00B51B7C" w:rsidRDefault="00796C84" w:rsidP="00796C84">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年报显示，你公司2024年实现境外业务收入9.48亿元，占年度营业收入40.21%，报告</w:t>
      </w:r>
      <w:proofErr w:type="gramStart"/>
      <w:r w:rsidRPr="00B51B7C">
        <w:rPr>
          <w:rFonts w:asciiTheme="minorEastAsia" w:hAnsiTheme="minorEastAsia" w:cs="Times" w:hint="eastAsia"/>
          <w:b/>
          <w:bCs/>
          <w:kern w:val="0"/>
          <w:sz w:val="24"/>
          <w:szCs w:val="24"/>
        </w:rPr>
        <w:t>期末你</w:t>
      </w:r>
      <w:proofErr w:type="gramEnd"/>
      <w:r w:rsidRPr="00B51B7C">
        <w:rPr>
          <w:rFonts w:asciiTheme="minorEastAsia" w:hAnsiTheme="minorEastAsia" w:cs="Times" w:hint="eastAsia"/>
          <w:b/>
          <w:bCs/>
          <w:kern w:val="0"/>
          <w:sz w:val="24"/>
          <w:szCs w:val="24"/>
        </w:rPr>
        <w:t xml:space="preserve">公司货币资金余额为19.37亿元，其中存放在境外的款项总额为0.35亿元。请你公司： </w:t>
      </w:r>
    </w:p>
    <w:p w14:paraId="680373E2" w14:textId="16EC83A0" w:rsidR="00796C84" w:rsidRPr="00B51B7C" w:rsidRDefault="00796C84" w:rsidP="00796C84">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（3）请年审会计师说明对上市公司境外收入真实性、境外存款真实性及安全性所执行的审计程序及获取的审计证据、覆盖范围及比例，并提供结论性意见。</w:t>
      </w:r>
    </w:p>
    <w:p w14:paraId="2660B160" w14:textId="77777777" w:rsidR="00566719" w:rsidRPr="00B51B7C" w:rsidRDefault="00796C84" w:rsidP="00566719">
      <w:pPr>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会计师回复：</w:t>
      </w:r>
    </w:p>
    <w:p w14:paraId="363236BE" w14:textId="6237950A" w:rsidR="00566719" w:rsidRPr="00B51B7C" w:rsidRDefault="00566719" w:rsidP="00566719">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1.我们对上市公司境外收入真实性执行的审计程序及获取的审计证据、覆盖范围及比例如下：</w:t>
      </w:r>
    </w:p>
    <w:p w14:paraId="16FD71D4" w14:textId="1AD9B7D8" w:rsidR="00566719" w:rsidRPr="00B51B7C" w:rsidRDefault="00566719" w:rsidP="0056671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Pr="00B51B7C">
        <w:rPr>
          <w:rFonts w:asciiTheme="minorEastAsia" w:hAnsiTheme="minorEastAsia" w:cs="Times"/>
          <w:kern w:val="0"/>
          <w:sz w:val="24"/>
          <w:szCs w:val="24"/>
        </w:rPr>
        <w:t>了解与</w:t>
      </w:r>
      <w:r w:rsidR="002F4195" w:rsidRPr="00B51B7C">
        <w:rPr>
          <w:rFonts w:asciiTheme="minorEastAsia" w:hAnsiTheme="minorEastAsia" w:cs="Times" w:hint="eastAsia"/>
          <w:kern w:val="0"/>
          <w:sz w:val="24"/>
          <w:szCs w:val="24"/>
        </w:rPr>
        <w:t>境外业务</w:t>
      </w:r>
      <w:r w:rsidRPr="00B51B7C">
        <w:rPr>
          <w:rFonts w:asciiTheme="minorEastAsia" w:hAnsiTheme="minorEastAsia" w:cs="Times"/>
          <w:kern w:val="0"/>
          <w:sz w:val="24"/>
          <w:szCs w:val="24"/>
        </w:rPr>
        <w:t>收入确认相关的关键内部控制，并执行控制测试，评价与收入确认相关的关键内部控制的设计和运行有效性；</w:t>
      </w:r>
    </w:p>
    <w:p w14:paraId="49836B88" w14:textId="2F4E6B4D" w:rsidR="002F4195" w:rsidRPr="00B51B7C" w:rsidRDefault="00566719" w:rsidP="002F4195">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Pr="00B51B7C">
        <w:rPr>
          <w:rFonts w:asciiTheme="minorEastAsia" w:hAnsiTheme="minorEastAsia" w:cs="Times"/>
          <w:kern w:val="0"/>
          <w:sz w:val="24"/>
          <w:szCs w:val="24"/>
        </w:rPr>
        <w:t>2）</w:t>
      </w:r>
      <w:r w:rsidR="00B30844" w:rsidRPr="00B51B7C">
        <w:rPr>
          <w:rFonts w:asciiTheme="minorEastAsia" w:hAnsiTheme="minorEastAsia" w:cs="Times" w:hint="eastAsia"/>
          <w:kern w:val="0"/>
          <w:sz w:val="24"/>
          <w:szCs w:val="24"/>
        </w:rPr>
        <w:t>取得并查阅公司境外业务收入确认会计政策，结合公司销售模式、相</w:t>
      </w:r>
      <w:r w:rsidR="00B30844" w:rsidRPr="00B51B7C">
        <w:rPr>
          <w:rFonts w:asciiTheme="minorEastAsia" w:hAnsiTheme="minorEastAsia" w:cs="Times" w:hint="eastAsia"/>
          <w:kern w:val="0"/>
          <w:sz w:val="24"/>
          <w:szCs w:val="24"/>
        </w:rPr>
        <w:lastRenderedPageBreak/>
        <w:t>关交易合同条款，检查合同约定的控制权转移时间点及付款方式等，评价境外业务收入确认时点是否符合公司实际经营情况和业务特点，是否符合企业会计准则的规定</w:t>
      </w:r>
      <w:r w:rsidR="002F4195" w:rsidRPr="00B51B7C">
        <w:rPr>
          <w:rFonts w:asciiTheme="minorEastAsia" w:hAnsiTheme="minorEastAsia" w:cs="Times"/>
          <w:kern w:val="0"/>
          <w:sz w:val="24"/>
          <w:szCs w:val="24"/>
        </w:rPr>
        <w:t>；</w:t>
      </w:r>
    </w:p>
    <w:p w14:paraId="1BDB0101" w14:textId="71FC45BC" w:rsidR="00566719" w:rsidRPr="00B51B7C" w:rsidRDefault="00566719" w:rsidP="0056671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2F4195" w:rsidRPr="00B51B7C">
        <w:rPr>
          <w:rFonts w:asciiTheme="minorEastAsia" w:hAnsiTheme="minorEastAsia" w:cs="Times" w:hint="eastAsia"/>
          <w:kern w:val="0"/>
          <w:sz w:val="24"/>
          <w:szCs w:val="24"/>
        </w:rPr>
        <w:t>3</w:t>
      </w:r>
      <w:r w:rsidRPr="00B51B7C">
        <w:rPr>
          <w:rFonts w:asciiTheme="minorEastAsia" w:hAnsiTheme="minorEastAsia" w:cs="Times"/>
          <w:kern w:val="0"/>
          <w:sz w:val="24"/>
          <w:szCs w:val="24"/>
        </w:rPr>
        <w:t>）获取</w:t>
      </w:r>
      <w:r w:rsidR="002F4195" w:rsidRPr="00B51B7C">
        <w:rPr>
          <w:rFonts w:asciiTheme="minorEastAsia" w:hAnsiTheme="minorEastAsia" w:cs="Times" w:hint="eastAsia"/>
          <w:kern w:val="0"/>
          <w:sz w:val="24"/>
          <w:szCs w:val="24"/>
        </w:rPr>
        <w:t>境外</w:t>
      </w:r>
      <w:r w:rsidRPr="00B51B7C">
        <w:rPr>
          <w:rFonts w:asciiTheme="minorEastAsia" w:hAnsiTheme="minorEastAsia" w:cs="Times"/>
          <w:kern w:val="0"/>
          <w:sz w:val="24"/>
          <w:szCs w:val="24"/>
        </w:rPr>
        <w:t>业务营业收入明细表、应收账款明细表，复核加计是否正确，并与年度报告</w:t>
      </w:r>
      <w:r w:rsidR="002F4195" w:rsidRPr="00B51B7C">
        <w:rPr>
          <w:rFonts w:asciiTheme="minorEastAsia" w:hAnsiTheme="minorEastAsia" w:cs="Times" w:hint="eastAsia"/>
          <w:kern w:val="0"/>
          <w:sz w:val="24"/>
          <w:szCs w:val="24"/>
        </w:rPr>
        <w:t>境</w:t>
      </w:r>
      <w:r w:rsidRPr="00B51B7C">
        <w:rPr>
          <w:rFonts w:asciiTheme="minorEastAsia" w:hAnsiTheme="minorEastAsia" w:cs="Times"/>
          <w:kern w:val="0"/>
          <w:sz w:val="24"/>
          <w:szCs w:val="24"/>
        </w:rPr>
        <w:t>外业务收入金额核对是否相符;</w:t>
      </w:r>
    </w:p>
    <w:p w14:paraId="3BC236EA" w14:textId="02F5AF53" w:rsidR="00566719" w:rsidRPr="00B51B7C" w:rsidRDefault="00566719" w:rsidP="0056671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2F4195" w:rsidRPr="00B51B7C">
        <w:rPr>
          <w:rFonts w:asciiTheme="minorEastAsia" w:hAnsiTheme="minorEastAsia" w:cs="Times" w:hint="eastAsia"/>
          <w:kern w:val="0"/>
          <w:sz w:val="24"/>
          <w:szCs w:val="24"/>
        </w:rPr>
        <w:t>4</w:t>
      </w:r>
      <w:r w:rsidRPr="00B51B7C">
        <w:rPr>
          <w:rFonts w:asciiTheme="minorEastAsia" w:hAnsiTheme="minorEastAsia" w:cs="Times"/>
          <w:kern w:val="0"/>
          <w:sz w:val="24"/>
          <w:szCs w:val="24"/>
        </w:rPr>
        <w:t>）获取主要</w:t>
      </w:r>
      <w:r w:rsidR="002F4195" w:rsidRPr="00B51B7C">
        <w:rPr>
          <w:rFonts w:asciiTheme="minorEastAsia" w:hAnsiTheme="minorEastAsia" w:cs="Times" w:hint="eastAsia"/>
          <w:kern w:val="0"/>
          <w:sz w:val="24"/>
          <w:szCs w:val="24"/>
        </w:rPr>
        <w:t>境外</w:t>
      </w:r>
      <w:r w:rsidRPr="00B51B7C">
        <w:rPr>
          <w:rFonts w:asciiTheme="minorEastAsia" w:hAnsiTheme="minorEastAsia" w:cs="Times"/>
          <w:kern w:val="0"/>
          <w:sz w:val="24"/>
          <w:szCs w:val="24"/>
        </w:rPr>
        <w:t>客户的大额销售合同，按照不同的外销交易模式检查合同执行情况，包括检查合同审批单、合同主要条款、</w:t>
      </w:r>
      <w:r w:rsidR="002F4195" w:rsidRPr="00B51B7C">
        <w:rPr>
          <w:rFonts w:asciiTheme="minorEastAsia" w:hAnsiTheme="minorEastAsia" w:cs="Times" w:hint="eastAsia"/>
          <w:kern w:val="0"/>
          <w:sz w:val="24"/>
          <w:szCs w:val="24"/>
        </w:rPr>
        <w:t>报关单、</w:t>
      </w:r>
      <w:r w:rsidRPr="00B51B7C">
        <w:rPr>
          <w:rFonts w:asciiTheme="minorEastAsia" w:hAnsiTheme="minorEastAsia" w:cs="Times"/>
          <w:kern w:val="0"/>
          <w:sz w:val="24"/>
          <w:szCs w:val="24"/>
        </w:rPr>
        <w:t>货运提单、客户签收单与收入确认相关的关键单据是否齐全、信息是否一致；</w:t>
      </w:r>
    </w:p>
    <w:p w14:paraId="24C187A6" w14:textId="76D995E8" w:rsidR="00566719" w:rsidRPr="00B51B7C" w:rsidRDefault="00566719" w:rsidP="0056671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2F4195" w:rsidRPr="00B51B7C">
        <w:rPr>
          <w:rFonts w:asciiTheme="minorEastAsia" w:hAnsiTheme="minorEastAsia" w:cs="Times" w:hint="eastAsia"/>
          <w:kern w:val="0"/>
          <w:sz w:val="24"/>
          <w:szCs w:val="24"/>
        </w:rPr>
        <w:t>5</w:t>
      </w:r>
      <w:r w:rsidRPr="00B51B7C">
        <w:rPr>
          <w:rFonts w:asciiTheme="minorEastAsia" w:hAnsiTheme="minorEastAsia" w:cs="Times" w:hint="eastAsia"/>
          <w:kern w:val="0"/>
          <w:sz w:val="24"/>
          <w:szCs w:val="24"/>
        </w:rPr>
        <w:t>）对</w:t>
      </w:r>
      <w:r w:rsidR="002F4195" w:rsidRPr="00B51B7C">
        <w:rPr>
          <w:rFonts w:asciiTheme="minorEastAsia" w:hAnsiTheme="minorEastAsia" w:cs="Times" w:hint="eastAsia"/>
          <w:kern w:val="0"/>
          <w:sz w:val="24"/>
          <w:szCs w:val="24"/>
        </w:rPr>
        <w:t>境</w:t>
      </w:r>
      <w:r w:rsidRPr="00B51B7C">
        <w:rPr>
          <w:rFonts w:asciiTheme="minorEastAsia" w:hAnsiTheme="minorEastAsia" w:cs="Times" w:hint="eastAsia"/>
          <w:kern w:val="0"/>
          <w:sz w:val="24"/>
          <w:szCs w:val="24"/>
        </w:rPr>
        <w:t>外客户</w:t>
      </w:r>
      <w:proofErr w:type="gramStart"/>
      <w:r w:rsidRPr="00B51B7C">
        <w:rPr>
          <w:rFonts w:asciiTheme="minorEastAsia" w:hAnsiTheme="minorEastAsia" w:cs="Times" w:hint="eastAsia"/>
          <w:kern w:val="0"/>
          <w:sz w:val="24"/>
          <w:szCs w:val="24"/>
        </w:rPr>
        <w:t>实施函证程序</w:t>
      </w:r>
      <w:proofErr w:type="gramEnd"/>
      <w:r w:rsidRPr="00B51B7C">
        <w:rPr>
          <w:rFonts w:asciiTheme="minorEastAsia" w:hAnsiTheme="minorEastAsia" w:cs="Times" w:hint="eastAsia"/>
          <w:kern w:val="0"/>
          <w:sz w:val="24"/>
          <w:szCs w:val="24"/>
        </w:rPr>
        <w:t>，核查收入的真实性和准确性；</w:t>
      </w:r>
    </w:p>
    <w:p w14:paraId="2F7DC093" w14:textId="3026A648" w:rsidR="00566719" w:rsidRPr="00B51B7C" w:rsidRDefault="00566719" w:rsidP="0056671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2F4195" w:rsidRPr="00B51B7C">
        <w:rPr>
          <w:rFonts w:asciiTheme="minorEastAsia" w:hAnsiTheme="minorEastAsia" w:cs="Times" w:hint="eastAsia"/>
          <w:kern w:val="0"/>
          <w:sz w:val="24"/>
          <w:szCs w:val="24"/>
        </w:rPr>
        <w:t>6</w:t>
      </w:r>
      <w:r w:rsidRPr="00B51B7C">
        <w:rPr>
          <w:rFonts w:asciiTheme="minorEastAsia" w:hAnsiTheme="minorEastAsia" w:cs="Times"/>
          <w:kern w:val="0"/>
          <w:sz w:val="24"/>
          <w:szCs w:val="24"/>
        </w:rPr>
        <w:t>）检查主要</w:t>
      </w:r>
      <w:r w:rsidR="002F4195" w:rsidRPr="00B51B7C">
        <w:rPr>
          <w:rFonts w:asciiTheme="minorEastAsia" w:hAnsiTheme="minorEastAsia" w:cs="Times" w:hint="eastAsia"/>
          <w:kern w:val="0"/>
          <w:sz w:val="24"/>
          <w:szCs w:val="24"/>
        </w:rPr>
        <w:t>境</w:t>
      </w:r>
      <w:r w:rsidRPr="00B51B7C">
        <w:rPr>
          <w:rFonts w:asciiTheme="minorEastAsia" w:hAnsiTheme="minorEastAsia" w:cs="Times"/>
          <w:kern w:val="0"/>
          <w:sz w:val="24"/>
          <w:szCs w:val="24"/>
        </w:rPr>
        <w:t>外客户的销售回款，关注付款方信息是否与</w:t>
      </w:r>
      <w:r w:rsidR="002F4195" w:rsidRPr="00B51B7C">
        <w:rPr>
          <w:rFonts w:asciiTheme="minorEastAsia" w:hAnsiTheme="minorEastAsia" w:cs="Times" w:hint="eastAsia"/>
          <w:kern w:val="0"/>
          <w:sz w:val="24"/>
          <w:szCs w:val="24"/>
        </w:rPr>
        <w:t>账面记载的</w:t>
      </w:r>
      <w:r w:rsidRPr="00B51B7C">
        <w:rPr>
          <w:rFonts w:asciiTheme="minorEastAsia" w:hAnsiTheme="minorEastAsia" w:cs="Times"/>
          <w:kern w:val="0"/>
          <w:sz w:val="24"/>
          <w:szCs w:val="24"/>
        </w:rPr>
        <w:t>客户信息一致；</w:t>
      </w:r>
    </w:p>
    <w:p w14:paraId="02F46C99" w14:textId="2149EA34" w:rsidR="00566719" w:rsidRPr="00B51B7C" w:rsidRDefault="00566719" w:rsidP="0056671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2F4195" w:rsidRPr="00B51B7C">
        <w:rPr>
          <w:rFonts w:asciiTheme="minorEastAsia" w:hAnsiTheme="minorEastAsia" w:cs="Times" w:hint="eastAsia"/>
          <w:kern w:val="0"/>
          <w:sz w:val="24"/>
          <w:szCs w:val="24"/>
        </w:rPr>
        <w:t>7</w:t>
      </w:r>
      <w:r w:rsidRPr="00B51B7C">
        <w:rPr>
          <w:rFonts w:asciiTheme="minorEastAsia" w:hAnsiTheme="minorEastAsia" w:cs="Times"/>
          <w:kern w:val="0"/>
          <w:sz w:val="24"/>
          <w:szCs w:val="24"/>
        </w:rPr>
        <w:t>）获取资产负债表日前后</w:t>
      </w:r>
      <w:r w:rsidR="002F4195" w:rsidRPr="00B51B7C">
        <w:rPr>
          <w:rFonts w:asciiTheme="minorEastAsia" w:hAnsiTheme="minorEastAsia" w:cs="Times" w:hint="eastAsia"/>
          <w:kern w:val="0"/>
          <w:sz w:val="24"/>
          <w:szCs w:val="24"/>
        </w:rPr>
        <w:t>境外业务</w:t>
      </w:r>
      <w:r w:rsidRPr="00B51B7C">
        <w:rPr>
          <w:rFonts w:asciiTheme="minorEastAsia" w:hAnsiTheme="minorEastAsia" w:cs="Times"/>
          <w:kern w:val="0"/>
          <w:sz w:val="24"/>
          <w:szCs w:val="24"/>
        </w:rPr>
        <w:t>收入的明细账及</w:t>
      </w:r>
      <w:proofErr w:type="gramStart"/>
      <w:r w:rsidRPr="00B51B7C">
        <w:rPr>
          <w:rFonts w:asciiTheme="minorEastAsia" w:hAnsiTheme="minorEastAsia" w:cs="Times"/>
          <w:kern w:val="0"/>
          <w:sz w:val="24"/>
          <w:szCs w:val="24"/>
        </w:rPr>
        <w:t>物流台</w:t>
      </w:r>
      <w:proofErr w:type="gramEnd"/>
      <w:r w:rsidRPr="00B51B7C">
        <w:rPr>
          <w:rFonts w:asciiTheme="minorEastAsia" w:hAnsiTheme="minorEastAsia" w:cs="Times"/>
          <w:kern w:val="0"/>
          <w:sz w:val="24"/>
          <w:szCs w:val="24"/>
        </w:rPr>
        <w:t>账，根据不同的外销交易模式选取样本实施截止测试，检查并核对货运提单、</w:t>
      </w:r>
      <w:r w:rsidR="002F4195" w:rsidRPr="00B51B7C">
        <w:rPr>
          <w:rFonts w:asciiTheme="minorEastAsia" w:hAnsiTheme="minorEastAsia" w:cs="Times" w:hint="eastAsia"/>
          <w:kern w:val="0"/>
          <w:sz w:val="24"/>
          <w:szCs w:val="24"/>
        </w:rPr>
        <w:t>报关单、</w:t>
      </w:r>
      <w:r w:rsidRPr="00B51B7C">
        <w:rPr>
          <w:rFonts w:asciiTheme="minorEastAsia" w:hAnsiTheme="minorEastAsia" w:cs="Times" w:hint="eastAsia"/>
          <w:kern w:val="0"/>
          <w:sz w:val="24"/>
          <w:szCs w:val="24"/>
        </w:rPr>
        <w:t>签</w:t>
      </w:r>
      <w:r w:rsidRPr="00B51B7C">
        <w:rPr>
          <w:rFonts w:asciiTheme="minorEastAsia" w:hAnsiTheme="minorEastAsia" w:cs="Times"/>
          <w:kern w:val="0"/>
          <w:sz w:val="24"/>
          <w:szCs w:val="24"/>
        </w:rPr>
        <w:t>收单等支持性文件，评价收入是否被记录于恰当的会计期间；</w:t>
      </w:r>
    </w:p>
    <w:p w14:paraId="75F6E0F3" w14:textId="2BAAA3CF" w:rsidR="00566719" w:rsidRPr="00B51B7C" w:rsidRDefault="00566719" w:rsidP="00566719">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2024年度，江苏中利境外营业收入为9.48亿元</w:t>
      </w:r>
      <w:r w:rsidR="00226A1B" w:rsidRPr="00B51B7C">
        <w:rPr>
          <w:rFonts w:asciiTheme="minorEastAsia" w:hAnsiTheme="minorEastAsia" w:cs="Times" w:hint="eastAsia"/>
          <w:kern w:val="0"/>
          <w:sz w:val="24"/>
          <w:szCs w:val="24"/>
        </w:rPr>
        <w:t>，我们审计范围覆盖了7.16亿元，覆盖比例为</w:t>
      </w:r>
      <w:r w:rsidR="00226A1B" w:rsidRPr="00B51B7C">
        <w:rPr>
          <w:rFonts w:asciiTheme="minorEastAsia" w:hAnsiTheme="minorEastAsia" w:cs="Times"/>
          <w:kern w:val="0"/>
          <w:sz w:val="24"/>
          <w:szCs w:val="24"/>
        </w:rPr>
        <w:t>75.58%</w:t>
      </w:r>
      <w:r w:rsidR="00226A1B" w:rsidRPr="00B51B7C">
        <w:rPr>
          <w:rFonts w:asciiTheme="minorEastAsia" w:hAnsiTheme="minorEastAsia" w:cs="Times" w:hint="eastAsia"/>
          <w:kern w:val="0"/>
          <w:sz w:val="24"/>
          <w:szCs w:val="24"/>
        </w:rPr>
        <w:t>；其中</w:t>
      </w:r>
      <w:proofErr w:type="gramStart"/>
      <w:r w:rsidR="00226A1B" w:rsidRPr="00B51B7C">
        <w:rPr>
          <w:rFonts w:asciiTheme="minorEastAsia" w:hAnsiTheme="minorEastAsia" w:cs="Times" w:hint="eastAsia"/>
          <w:kern w:val="0"/>
          <w:sz w:val="24"/>
          <w:szCs w:val="24"/>
        </w:rPr>
        <w:t>函证程序</w:t>
      </w:r>
      <w:proofErr w:type="gramEnd"/>
      <w:r w:rsidR="00226A1B" w:rsidRPr="00B51B7C">
        <w:rPr>
          <w:rFonts w:asciiTheme="minorEastAsia" w:hAnsiTheme="minorEastAsia" w:cs="Times" w:hint="eastAsia"/>
          <w:kern w:val="0"/>
          <w:sz w:val="24"/>
          <w:szCs w:val="24"/>
        </w:rPr>
        <w:t>回函金额为6.38亿元，细节测试金额（已剔除与回函确认重复部分）为0.78亿元</w:t>
      </w:r>
      <w:r w:rsidRPr="00B51B7C">
        <w:rPr>
          <w:rFonts w:asciiTheme="minorEastAsia" w:hAnsiTheme="minorEastAsia" w:cs="Times" w:hint="eastAsia"/>
          <w:kern w:val="0"/>
          <w:sz w:val="24"/>
          <w:szCs w:val="24"/>
        </w:rPr>
        <w:t>。</w:t>
      </w:r>
    </w:p>
    <w:p w14:paraId="0608BE61" w14:textId="410FC4C7" w:rsidR="00A655B7" w:rsidRPr="00B51B7C" w:rsidRDefault="00A655B7" w:rsidP="00A655B7">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2.我们对上市公司境外存款真实性及安全性执行的审计程序及获取的审计证据、覆盖范围及比例如下：</w:t>
      </w:r>
    </w:p>
    <w:p w14:paraId="758CEB8E" w14:textId="709A510B" w:rsidR="00BA03BE" w:rsidRPr="00B51B7C" w:rsidRDefault="00566719" w:rsidP="00A655B7">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w:t>
      </w:r>
      <w:r w:rsidR="00BA03BE" w:rsidRPr="00B51B7C">
        <w:rPr>
          <w:rFonts w:asciiTheme="minorEastAsia" w:hAnsiTheme="minorEastAsia" w:cs="Times" w:hint="eastAsia"/>
          <w:kern w:val="0"/>
          <w:sz w:val="24"/>
          <w:szCs w:val="24"/>
        </w:rPr>
        <w:t>了解和评价与货币资金相关内部控制的设计和运行的有效性；</w:t>
      </w:r>
    </w:p>
    <w:p w14:paraId="1705E79B" w14:textId="3480A568" w:rsidR="00566719" w:rsidRPr="00B51B7C" w:rsidRDefault="00BA03BE" w:rsidP="00A655B7">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w:t>
      </w:r>
      <w:r w:rsidR="00837509" w:rsidRPr="00B51B7C">
        <w:rPr>
          <w:rFonts w:asciiTheme="minorEastAsia" w:hAnsiTheme="minorEastAsia" w:cs="Times" w:hint="eastAsia"/>
          <w:kern w:val="0"/>
          <w:sz w:val="24"/>
          <w:szCs w:val="24"/>
        </w:rPr>
        <w:t>对境外库存现金</w:t>
      </w:r>
      <w:proofErr w:type="gramStart"/>
      <w:r w:rsidR="00566719" w:rsidRPr="00B51B7C">
        <w:rPr>
          <w:rFonts w:asciiTheme="minorEastAsia" w:hAnsiTheme="minorEastAsia" w:cs="Times" w:hint="eastAsia"/>
          <w:kern w:val="0"/>
          <w:sz w:val="24"/>
          <w:szCs w:val="24"/>
        </w:rPr>
        <w:t>执行监盘程序</w:t>
      </w:r>
      <w:proofErr w:type="gramEnd"/>
      <w:r w:rsidR="00837509" w:rsidRPr="00B51B7C">
        <w:rPr>
          <w:rFonts w:asciiTheme="minorEastAsia" w:hAnsiTheme="minorEastAsia" w:cs="Times" w:hint="eastAsia"/>
          <w:kern w:val="0"/>
          <w:sz w:val="24"/>
          <w:szCs w:val="24"/>
        </w:rPr>
        <w:t>；</w:t>
      </w:r>
    </w:p>
    <w:p w14:paraId="5892F674" w14:textId="56C9CFD3" w:rsidR="00566719" w:rsidRPr="00B51B7C" w:rsidRDefault="00566719" w:rsidP="00A655B7">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86686F" w:rsidRPr="00B51B7C">
        <w:rPr>
          <w:rFonts w:asciiTheme="minorEastAsia" w:hAnsiTheme="minorEastAsia" w:cs="Times" w:hint="eastAsia"/>
          <w:kern w:val="0"/>
          <w:sz w:val="24"/>
          <w:szCs w:val="24"/>
        </w:rPr>
        <w:t>3</w:t>
      </w:r>
      <w:r w:rsidRPr="00B51B7C">
        <w:rPr>
          <w:rFonts w:asciiTheme="minorEastAsia" w:hAnsiTheme="minorEastAsia" w:cs="Times" w:hint="eastAsia"/>
          <w:kern w:val="0"/>
          <w:sz w:val="24"/>
          <w:szCs w:val="24"/>
        </w:rPr>
        <w:t>）对</w:t>
      </w:r>
      <w:r w:rsidR="00BA03BE" w:rsidRPr="00B51B7C">
        <w:rPr>
          <w:rFonts w:asciiTheme="minorEastAsia" w:hAnsiTheme="minorEastAsia" w:cs="Times" w:hint="eastAsia"/>
          <w:kern w:val="0"/>
          <w:sz w:val="24"/>
          <w:szCs w:val="24"/>
        </w:rPr>
        <w:t>境外</w:t>
      </w:r>
      <w:r w:rsidRPr="00B51B7C">
        <w:rPr>
          <w:rFonts w:asciiTheme="minorEastAsia" w:hAnsiTheme="minorEastAsia" w:cs="Times" w:hint="eastAsia"/>
          <w:kern w:val="0"/>
          <w:sz w:val="24"/>
          <w:szCs w:val="24"/>
        </w:rPr>
        <w:t>货币资金</w:t>
      </w:r>
      <w:proofErr w:type="gramStart"/>
      <w:r w:rsidRPr="00B51B7C">
        <w:rPr>
          <w:rFonts w:asciiTheme="minorEastAsia" w:hAnsiTheme="minorEastAsia" w:cs="Times" w:hint="eastAsia"/>
          <w:kern w:val="0"/>
          <w:sz w:val="24"/>
          <w:szCs w:val="24"/>
        </w:rPr>
        <w:t>实施函证程序</w:t>
      </w:r>
      <w:proofErr w:type="gramEnd"/>
      <w:r w:rsidR="0086686F" w:rsidRPr="00B51B7C">
        <w:rPr>
          <w:rFonts w:asciiTheme="minorEastAsia" w:hAnsiTheme="minorEastAsia" w:cs="Times" w:hint="eastAsia"/>
          <w:kern w:val="0"/>
          <w:sz w:val="24"/>
          <w:szCs w:val="24"/>
        </w:rPr>
        <w:t>，检查银行回函，</w:t>
      </w:r>
      <w:r w:rsidRPr="00B51B7C">
        <w:rPr>
          <w:rFonts w:asciiTheme="minorEastAsia" w:hAnsiTheme="minorEastAsia" w:cs="Times" w:hint="eastAsia"/>
          <w:kern w:val="0"/>
          <w:sz w:val="24"/>
          <w:szCs w:val="24"/>
        </w:rPr>
        <w:t>编制</w:t>
      </w:r>
      <w:proofErr w:type="gramStart"/>
      <w:r w:rsidRPr="00B51B7C">
        <w:rPr>
          <w:rFonts w:asciiTheme="minorEastAsia" w:hAnsiTheme="minorEastAsia" w:cs="Times" w:hint="eastAsia"/>
          <w:kern w:val="0"/>
          <w:sz w:val="24"/>
          <w:szCs w:val="24"/>
        </w:rPr>
        <w:t>函证结果</w:t>
      </w:r>
      <w:proofErr w:type="gramEnd"/>
      <w:r w:rsidRPr="00B51B7C">
        <w:rPr>
          <w:rFonts w:asciiTheme="minorEastAsia" w:hAnsiTheme="minorEastAsia" w:cs="Times" w:hint="eastAsia"/>
          <w:kern w:val="0"/>
          <w:sz w:val="24"/>
          <w:szCs w:val="24"/>
        </w:rPr>
        <w:t>汇总表；调查</w:t>
      </w:r>
      <w:r w:rsidR="00014B7F" w:rsidRPr="00B51B7C">
        <w:rPr>
          <w:rFonts w:asciiTheme="minorEastAsia" w:hAnsiTheme="minorEastAsia" w:cs="Times" w:hint="eastAsia"/>
          <w:kern w:val="0"/>
          <w:sz w:val="24"/>
          <w:szCs w:val="24"/>
        </w:rPr>
        <w:t>回函</w:t>
      </w:r>
      <w:r w:rsidRPr="00B51B7C">
        <w:rPr>
          <w:rFonts w:asciiTheme="minorEastAsia" w:hAnsiTheme="minorEastAsia" w:cs="Times" w:hint="eastAsia"/>
          <w:kern w:val="0"/>
          <w:sz w:val="24"/>
          <w:szCs w:val="24"/>
        </w:rPr>
        <w:t>不符事项，确定是否表明存在错报；</w:t>
      </w:r>
      <w:r w:rsidR="0086686F" w:rsidRPr="00B51B7C">
        <w:rPr>
          <w:rFonts w:asciiTheme="minorEastAsia" w:hAnsiTheme="minorEastAsia" w:cs="Times" w:hint="eastAsia"/>
          <w:kern w:val="0"/>
          <w:sz w:val="24"/>
          <w:szCs w:val="24"/>
        </w:rPr>
        <w:t>对</w:t>
      </w:r>
      <w:r w:rsidRPr="00B51B7C">
        <w:rPr>
          <w:rFonts w:asciiTheme="minorEastAsia" w:hAnsiTheme="minorEastAsia" w:cs="Times" w:hint="eastAsia"/>
          <w:kern w:val="0"/>
          <w:sz w:val="24"/>
          <w:szCs w:val="24"/>
        </w:rPr>
        <w:t>未回函</w:t>
      </w:r>
      <w:r w:rsidR="0086686F" w:rsidRPr="00B51B7C">
        <w:rPr>
          <w:rFonts w:asciiTheme="minorEastAsia" w:hAnsiTheme="minorEastAsia" w:cs="Times" w:hint="eastAsia"/>
          <w:kern w:val="0"/>
          <w:sz w:val="24"/>
          <w:szCs w:val="24"/>
        </w:rPr>
        <w:t>的银行账户</w:t>
      </w:r>
      <w:r w:rsidRPr="00B51B7C">
        <w:rPr>
          <w:rFonts w:asciiTheme="minorEastAsia" w:hAnsiTheme="minorEastAsia" w:cs="Times" w:hint="eastAsia"/>
          <w:kern w:val="0"/>
          <w:sz w:val="24"/>
          <w:szCs w:val="24"/>
        </w:rPr>
        <w:t>，实施替代程序</w:t>
      </w:r>
      <w:r w:rsidR="00845B17" w:rsidRPr="00B51B7C">
        <w:rPr>
          <w:rFonts w:asciiTheme="minorEastAsia" w:hAnsiTheme="minorEastAsia" w:cs="Times" w:hint="eastAsia"/>
          <w:kern w:val="0"/>
          <w:sz w:val="24"/>
          <w:szCs w:val="24"/>
        </w:rPr>
        <w:t>；</w:t>
      </w:r>
    </w:p>
    <w:p w14:paraId="69F4CDE0" w14:textId="360A480C" w:rsidR="00210D49" w:rsidRPr="00B51B7C" w:rsidRDefault="00566719" w:rsidP="00A655B7">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w:t>
      </w:r>
      <w:r w:rsidR="0086686F" w:rsidRPr="00B51B7C">
        <w:rPr>
          <w:rFonts w:asciiTheme="minorEastAsia" w:hAnsiTheme="minorEastAsia" w:cs="Times" w:hint="eastAsia"/>
          <w:kern w:val="0"/>
          <w:sz w:val="24"/>
          <w:szCs w:val="24"/>
        </w:rPr>
        <w:t>4</w:t>
      </w:r>
      <w:r w:rsidRPr="00B51B7C">
        <w:rPr>
          <w:rFonts w:asciiTheme="minorEastAsia" w:hAnsiTheme="minorEastAsia" w:cs="Times" w:hint="eastAsia"/>
          <w:kern w:val="0"/>
          <w:sz w:val="24"/>
          <w:szCs w:val="24"/>
        </w:rPr>
        <w:t>）获取</w:t>
      </w:r>
      <w:r w:rsidR="00007B54" w:rsidRPr="00B51B7C">
        <w:rPr>
          <w:rFonts w:asciiTheme="minorEastAsia" w:hAnsiTheme="minorEastAsia" w:cs="Times" w:hint="eastAsia"/>
          <w:kern w:val="0"/>
          <w:sz w:val="24"/>
          <w:szCs w:val="24"/>
        </w:rPr>
        <w:t>并检查主要境外银行</w:t>
      </w:r>
      <w:r w:rsidRPr="00B51B7C">
        <w:rPr>
          <w:rFonts w:asciiTheme="minorEastAsia" w:hAnsiTheme="minorEastAsia" w:cs="Times" w:hint="eastAsia"/>
          <w:kern w:val="0"/>
          <w:sz w:val="24"/>
          <w:szCs w:val="24"/>
        </w:rPr>
        <w:t>2024年</w:t>
      </w:r>
      <w:r w:rsidR="0086686F" w:rsidRPr="00B51B7C">
        <w:rPr>
          <w:rFonts w:asciiTheme="minorEastAsia" w:hAnsiTheme="minorEastAsia" w:cs="Times" w:hint="eastAsia"/>
          <w:kern w:val="0"/>
          <w:sz w:val="24"/>
          <w:szCs w:val="24"/>
        </w:rPr>
        <w:t>银行</w:t>
      </w:r>
      <w:r w:rsidRPr="00B51B7C">
        <w:rPr>
          <w:rFonts w:asciiTheme="minorEastAsia" w:hAnsiTheme="minorEastAsia" w:cs="Times" w:hint="eastAsia"/>
          <w:kern w:val="0"/>
          <w:sz w:val="24"/>
          <w:szCs w:val="24"/>
        </w:rPr>
        <w:t>对账单</w:t>
      </w:r>
      <w:r w:rsidR="0086686F" w:rsidRPr="00B51B7C">
        <w:rPr>
          <w:rFonts w:asciiTheme="minorEastAsia" w:hAnsiTheme="minorEastAsia" w:cs="Times" w:hint="eastAsia"/>
          <w:kern w:val="0"/>
          <w:sz w:val="24"/>
          <w:szCs w:val="24"/>
        </w:rPr>
        <w:t>，检查交易发生信息及期末余额是否与账面记录一致</w:t>
      </w:r>
      <w:r w:rsidR="00210D49" w:rsidRPr="00B51B7C">
        <w:rPr>
          <w:rFonts w:asciiTheme="minorEastAsia" w:hAnsiTheme="minorEastAsia" w:cs="Times" w:hint="eastAsia"/>
          <w:kern w:val="0"/>
          <w:sz w:val="24"/>
          <w:szCs w:val="24"/>
        </w:rPr>
        <w:t>;</w:t>
      </w:r>
    </w:p>
    <w:p w14:paraId="1905B57B" w14:textId="746097BC" w:rsidR="00566719" w:rsidRPr="00B51B7C" w:rsidRDefault="00210D49" w:rsidP="00210D49">
      <w:pPr>
        <w:spacing w:line="360" w:lineRule="auto"/>
        <w:ind w:firstLineChars="250" w:firstLine="600"/>
        <w:rPr>
          <w:rFonts w:asciiTheme="minorEastAsia" w:hAnsiTheme="minorEastAsia" w:cs="Times"/>
          <w:kern w:val="0"/>
          <w:sz w:val="24"/>
          <w:szCs w:val="24"/>
        </w:rPr>
      </w:pPr>
      <w:r w:rsidRPr="00B51B7C">
        <w:rPr>
          <w:rFonts w:asciiTheme="minorEastAsia" w:hAnsiTheme="minorEastAsia" w:cs="Times" w:hint="eastAsia"/>
          <w:kern w:val="0"/>
          <w:sz w:val="24"/>
          <w:szCs w:val="24"/>
        </w:rPr>
        <w:t>(5) 获取并检查主要境外存款存放银行的经营业务、经营规模等背景信息，</w:t>
      </w:r>
      <w:r w:rsidR="00EF27C8" w:rsidRPr="00B51B7C">
        <w:rPr>
          <w:rFonts w:asciiTheme="minorEastAsia" w:hAnsiTheme="minorEastAsia" w:cs="Times" w:hint="eastAsia"/>
          <w:kern w:val="0"/>
          <w:sz w:val="24"/>
          <w:szCs w:val="24"/>
        </w:rPr>
        <w:t>以了解境外存款的安全性。</w:t>
      </w:r>
    </w:p>
    <w:p w14:paraId="346D0502" w14:textId="1D608289" w:rsidR="002A451E" w:rsidRPr="00B51B7C" w:rsidRDefault="002A451E" w:rsidP="00217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截至2024年12月31日，江苏中利存放在境外的货币资金余额为3,534.04</w:t>
      </w:r>
      <w:r w:rsidRPr="00B51B7C">
        <w:rPr>
          <w:rFonts w:asciiTheme="minorEastAsia" w:hAnsiTheme="minorEastAsia" w:cs="Times" w:hint="eastAsia"/>
          <w:kern w:val="0"/>
          <w:sz w:val="24"/>
          <w:szCs w:val="24"/>
        </w:rPr>
        <w:lastRenderedPageBreak/>
        <w:t>万元， 其中库存现金为7.81万元，均</w:t>
      </w:r>
      <w:proofErr w:type="gramStart"/>
      <w:r w:rsidRPr="00B51B7C">
        <w:rPr>
          <w:rFonts w:asciiTheme="minorEastAsia" w:hAnsiTheme="minorEastAsia" w:cs="Times" w:hint="eastAsia"/>
          <w:kern w:val="0"/>
          <w:sz w:val="24"/>
          <w:szCs w:val="24"/>
        </w:rPr>
        <w:t>执行监盘程序</w:t>
      </w:r>
      <w:proofErr w:type="gramEnd"/>
      <w:r w:rsidRPr="00B51B7C">
        <w:rPr>
          <w:rFonts w:asciiTheme="minorEastAsia" w:hAnsiTheme="minorEastAsia" w:cs="Times" w:hint="eastAsia"/>
          <w:kern w:val="0"/>
          <w:sz w:val="24"/>
          <w:szCs w:val="24"/>
        </w:rPr>
        <w:t>；银行存款为3,526.23万元，均获取并检查银行对账单，发函金额为2,797.60万元，占比为79.34%，其中回函确认金额为168.15万元，存放于新加坡华侨银行的2,629.45万元银行存款</w:t>
      </w:r>
      <w:r w:rsidR="004564D6" w:rsidRPr="00B51B7C">
        <w:rPr>
          <w:rFonts w:asciiTheme="minorEastAsia" w:hAnsiTheme="minorEastAsia" w:cs="Times" w:hint="eastAsia"/>
          <w:kern w:val="0"/>
          <w:sz w:val="24"/>
          <w:szCs w:val="24"/>
        </w:rPr>
        <w:t>未回函</w:t>
      </w:r>
      <w:r w:rsidR="003908CE" w:rsidRPr="00B51B7C">
        <w:rPr>
          <w:rFonts w:asciiTheme="minorEastAsia" w:hAnsiTheme="minorEastAsia" w:cs="Times" w:hint="eastAsia"/>
          <w:kern w:val="0"/>
          <w:sz w:val="24"/>
          <w:szCs w:val="24"/>
        </w:rPr>
        <w:t>，</w:t>
      </w:r>
      <w:r w:rsidR="00DC1303" w:rsidRPr="00B51B7C">
        <w:rPr>
          <w:rFonts w:asciiTheme="minorEastAsia" w:hAnsiTheme="minorEastAsia" w:cs="Times" w:hint="eastAsia"/>
          <w:kern w:val="0"/>
          <w:sz w:val="24"/>
          <w:szCs w:val="24"/>
        </w:rPr>
        <w:t>由于未将相关子公司作为重要组成部分，</w:t>
      </w:r>
      <w:r w:rsidRPr="00B51B7C">
        <w:rPr>
          <w:rFonts w:asciiTheme="minorEastAsia" w:hAnsiTheme="minorEastAsia" w:cs="Times" w:hint="eastAsia"/>
          <w:kern w:val="0"/>
          <w:sz w:val="24"/>
          <w:szCs w:val="24"/>
        </w:rPr>
        <w:t>针对未回函部分，我们执行了如下替代程序：①获取并检查相关银行账户全年对账单，并将其与企业银行存款日记账逐笔核对；②获取并检查相关子公司境外审计师的</w:t>
      </w:r>
      <w:proofErr w:type="gramStart"/>
      <w:r w:rsidRPr="00B51B7C">
        <w:rPr>
          <w:rFonts w:asciiTheme="minorEastAsia" w:hAnsiTheme="minorEastAsia" w:cs="Times" w:hint="eastAsia"/>
          <w:kern w:val="0"/>
          <w:sz w:val="24"/>
          <w:szCs w:val="24"/>
        </w:rPr>
        <w:t>询证函</w:t>
      </w:r>
      <w:proofErr w:type="gramEnd"/>
      <w:r w:rsidRPr="00B51B7C">
        <w:rPr>
          <w:rFonts w:asciiTheme="minorEastAsia" w:hAnsiTheme="minorEastAsia" w:cs="Times" w:hint="eastAsia"/>
          <w:kern w:val="0"/>
          <w:sz w:val="24"/>
          <w:szCs w:val="24"/>
        </w:rPr>
        <w:t>回函信息，并将其与对</w:t>
      </w:r>
      <w:proofErr w:type="gramStart"/>
      <w:r w:rsidRPr="00B51B7C">
        <w:rPr>
          <w:rFonts w:asciiTheme="minorEastAsia" w:hAnsiTheme="minorEastAsia" w:cs="Times" w:hint="eastAsia"/>
          <w:kern w:val="0"/>
          <w:sz w:val="24"/>
          <w:szCs w:val="24"/>
        </w:rPr>
        <w:t>期末对</w:t>
      </w:r>
      <w:proofErr w:type="gramEnd"/>
      <w:r w:rsidRPr="00B51B7C">
        <w:rPr>
          <w:rFonts w:asciiTheme="minorEastAsia" w:hAnsiTheme="minorEastAsia" w:cs="Times" w:hint="eastAsia"/>
          <w:kern w:val="0"/>
          <w:sz w:val="24"/>
          <w:szCs w:val="24"/>
        </w:rPr>
        <w:t>账单余额、期末账面余额进行核对</w:t>
      </w:r>
      <w:r w:rsidR="007A0709" w:rsidRPr="00B51B7C">
        <w:rPr>
          <w:rFonts w:asciiTheme="minorEastAsia" w:hAnsiTheme="minorEastAsia" w:cs="Times" w:hint="eastAsia"/>
          <w:kern w:val="0"/>
          <w:sz w:val="24"/>
          <w:szCs w:val="24"/>
        </w:rPr>
        <w:t>。</w:t>
      </w:r>
      <w:r w:rsidR="007A0709" w:rsidRPr="00B51B7C">
        <w:rPr>
          <w:rFonts w:asciiTheme="minorEastAsia" w:hAnsiTheme="minorEastAsia" w:cs="Times"/>
          <w:kern w:val="0"/>
          <w:sz w:val="24"/>
          <w:szCs w:val="24"/>
        </w:rPr>
        <w:t xml:space="preserve"> </w:t>
      </w:r>
    </w:p>
    <w:p w14:paraId="3994A576" w14:textId="56454A2F" w:rsidR="00F10A96" w:rsidRPr="00B51B7C" w:rsidRDefault="00217584" w:rsidP="00217584">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经核查，会计师认为：公司2024年度境外收入是真实的，2024年末境外存款具有真实性和安全性。</w:t>
      </w:r>
    </w:p>
    <w:p w14:paraId="2B25FF13" w14:textId="77777777" w:rsidR="003F5258" w:rsidRPr="00B51B7C" w:rsidRDefault="00796C84" w:rsidP="00FC1433">
      <w:pPr>
        <w:keepNext/>
        <w:keepLines/>
        <w:spacing w:line="360" w:lineRule="auto"/>
        <w:ind w:firstLineChars="200" w:firstLine="482"/>
        <w:outlineLvl w:val="1"/>
        <w:rPr>
          <w:rFonts w:asciiTheme="minorEastAsia" w:hAnsiTheme="minorEastAsia" w:cs="Times New Roman"/>
          <w:b/>
          <w:bCs/>
          <w:sz w:val="24"/>
          <w:szCs w:val="24"/>
        </w:rPr>
      </w:pPr>
      <w:r w:rsidRPr="00B51B7C">
        <w:rPr>
          <w:rFonts w:asciiTheme="minorEastAsia" w:hAnsiTheme="minorEastAsia" w:cs="Times New Roman" w:hint="eastAsia"/>
          <w:b/>
          <w:bCs/>
          <w:sz w:val="24"/>
          <w:szCs w:val="24"/>
        </w:rPr>
        <w:t>问题</w:t>
      </w:r>
      <w:r w:rsidR="00C224DA" w:rsidRPr="00B51B7C">
        <w:rPr>
          <w:rFonts w:asciiTheme="minorEastAsia" w:hAnsiTheme="minorEastAsia" w:cs="Times New Roman"/>
          <w:b/>
          <w:bCs/>
          <w:sz w:val="24"/>
          <w:szCs w:val="24"/>
        </w:rPr>
        <w:t>6</w:t>
      </w:r>
      <w:r w:rsidRPr="00B51B7C">
        <w:rPr>
          <w:rFonts w:asciiTheme="minorEastAsia" w:hAnsiTheme="minorEastAsia" w:cs="Times New Roman" w:hint="eastAsia"/>
          <w:b/>
          <w:bCs/>
          <w:sz w:val="24"/>
          <w:szCs w:val="24"/>
        </w:rPr>
        <w:t>.</w:t>
      </w:r>
    </w:p>
    <w:p w14:paraId="3B02AC33" w14:textId="07538BC7" w:rsidR="00796C84" w:rsidRPr="00B51B7C" w:rsidRDefault="00796C84" w:rsidP="00FC1433">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 xml:space="preserve"> 报告期内，你公司向前五名客户合计销售金额占年度销售总额比例为44.71%。请你公司：</w:t>
      </w:r>
    </w:p>
    <w:p w14:paraId="709506F4" w14:textId="77777777" w:rsidR="00796C84" w:rsidRPr="00B51B7C" w:rsidRDefault="00796C84" w:rsidP="00FC1433">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（1）提供报告期内前十名客户的名称，说明向上述客户销售的具体产品，并说明近三年主要客户是否发生重大变化，如是，请说明变化的原因。</w:t>
      </w:r>
    </w:p>
    <w:p w14:paraId="4F6E826E" w14:textId="41285D99" w:rsidR="00C015B8" w:rsidRPr="00B51B7C" w:rsidRDefault="00C015B8" w:rsidP="00FC1433">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公司回复：</w:t>
      </w:r>
    </w:p>
    <w:p w14:paraId="299CF9BC" w14:textId="77777777" w:rsidR="00C71F9C" w:rsidRPr="00B51B7C" w:rsidRDefault="00C71F9C" w:rsidP="00C71F9C">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公司2024年排名前十客户：</w:t>
      </w:r>
    </w:p>
    <w:p w14:paraId="06256A95" w14:textId="77777777" w:rsidR="00C71F9C" w:rsidRPr="00B51B7C" w:rsidRDefault="00C71F9C" w:rsidP="00C71F9C">
      <w:pPr>
        <w:spacing w:line="360" w:lineRule="auto"/>
        <w:ind w:firstLineChars="200" w:firstLine="480"/>
        <w:jc w:val="right"/>
        <w:rPr>
          <w:rFonts w:asciiTheme="minorEastAsia" w:hAnsiTheme="minorEastAsia" w:cs="宋体"/>
          <w:bCs/>
          <w:kern w:val="0"/>
          <w:sz w:val="24"/>
          <w:lang w:bidi="ar"/>
        </w:rPr>
      </w:pPr>
      <w:r w:rsidRPr="00B51B7C">
        <w:rPr>
          <w:rFonts w:asciiTheme="minorEastAsia" w:hAnsiTheme="minorEastAsia" w:cs="宋体" w:hint="eastAsia"/>
          <w:bCs/>
          <w:kern w:val="0"/>
          <w:sz w:val="24"/>
          <w:lang w:bidi="ar"/>
        </w:rPr>
        <w:t>单位：人民币万元</w:t>
      </w:r>
    </w:p>
    <w:tbl>
      <w:tblPr>
        <w:tblStyle w:val="ae"/>
        <w:tblW w:w="8769" w:type="dxa"/>
        <w:jc w:val="center"/>
        <w:tblLook w:val="04A0" w:firstRow="1" w:lastRow="0" w:firstColumn="1" w:lastColumn="0" w:noHBand="0" w:noVBand="1"/>
      </w:tblPr>
      <w:tblGrid>
        <w:gridCol w:w="1696"/>
        <w:gridCol w:w="1275"/>
        <w:gridCol w:w="1246"/>
        <w:gridCol w:w="3291"/>
        <w:gridCol w:w="1261"/>
      </w:tblGrid>
      <w:tr w:rsidR="00C71F9C" w:rsidRPr="00B51B7C" w14:paraId="55CD9C87" w14:textId="77777777" w:rsidTr="00EE1C59">
        <w:trPr>
          <w:jc w:val="center"/>
        </w:trPr>
        <w:tc>
          <w:tcPr>
            <w:tcW w:w="1696" w:type="dxa"/>
            <w:vAlign w:val="center"/>
          </w:tcPr>
          <w:p w14:paraId="64767BF7"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客户名称</w:t>
            </w:r>
          </w:p>
        </w:tc>
        <w:tc>
          <w:tcPr>
            <w:tcW w:w="1275" w:type="dxa"/>
            <w:vAlign w:val="center"/>
          </w:tcPr>
          <w:p w14:paraId="307EA885"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收入金额</w:t>
            </w:r>
          </w:p>
        </w:tc>
        <w:tc>
          <w:tcPr>
            <w:tcW w:w="1246" w:type="dxa"/>
            <w:vAlign w:val="center"/>
          </w:tcPr>
          <w:p w14:paraId="0613BE7A"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合作年限</w:t>
            </w:r>
          </w:p>
        </w:tc>
        <w:tc>
          <w:tcPr>
            <w:tcW w:w="3291" w:type="dxa"/>
            <w:vAlign w:val="center"/>
          </w:tcPr>
          <w:p w14:paraId="3E7EFEB9"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销售产品</w:t>
            </w:r>
          </w:p>
        </w:tc>
        <w:tc>
          <w:tcPr>
            <w:tcW w:w="1261" w:type="dxa"/>
            <w:vAlign w:val="center"/>
          </w:tcPr>
          <w:p w14:paraId="28FEE616"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收入占比</w:t>
            </w:r>
          </w:p>
        </w:tc>
      </w:tr>
      <w:tr w:rsidR="00C71F9C" w:rsidRPr="00B51B7C" w14:paraId="40C0A1E7" w14:textId="77777777" w:rsidTr="00EE1C59">
        <w:trPr>
          <w:jc w:val="center"/>
        </w:trPr>
        <w:tc>
          <w:tcPr>
            <w:tcW w:w="1696" w:type="dxa"/>
            <w:vAlign w:val="bottom"/>
          </w:tcPr>
          <w:p w14:paraId="4BFACC4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客户十七</w:t>
            </w:r>
          </w:p>
        </w:tc>
        <w:tc>
          <w:tcPr>
            <w:tcW w:w="1275" w:type="dxa"/>
          </w:tcPr>
          <w:p w14:paraId="6F7B5C1D"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62,447.47</w:t>
            </w:r>
          </w:p>
        </w:tc>
        <w:tc>
          <w:tcPr>
            <w:tcW w:w="1246" w:type="dxa"/>
          </w:tcPr>
          <w:p w14:paraId="6A89B7B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2年</w:t>
            </w:r>
          </w:p>
        </w:tc>
        <w:tc>
          <w:tcPr>
            <w:tcW w:w="3291" w:type="dxa"/>
          </w:tcPr>
          <w:p w14:paraId="40592EE9"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电池片及组件</w:t>
            </w:r>
          </w:p>
        </w:tc>
        <w:tc>
          <w:tcPr>
            <w:tcW w:w="1261" w:type="dxa"/>
          </w:tcPr>
          <w:p w14:paraId="3869752A"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26.48%</w:t>
            </w:r>
          </w:p>
        </w:tc>
      </w:tr>
      <w:tr w:rsidR="00C71F9C" w:rsidRPr="00B51B7C" w14:paraId="500D67E8" w14:textId="77777777" w:rsidTr="00EE1C59">
        <w:trPr>
          <w:jc w:val="center"/>
        </w:trPr>
        <w:tc>
          <w:tcPr>
            <w:tcW w:w="1696" w:type="dxa"/>
            <w:vAlign w:val="bottom"/>
          </w:tcPr>
          <w:p w14:paraId="390FE5FF"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客户二十二</w:t>
            </w:r>
          </w:p>
        </w:tc>
        <w:tc>
          <w:tcPr>
            <w:tcW w:w="1275" w:type="dxa"/>
          </w:tcPr>
          <w:p w14:paraId="31F741A0"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13,368.69</w:t>
            </w:r>
          </w:p>
        </w:tc>
        <w:tc>
          <w:tcPr>
            <w:tcW w:w="1246" w:type="dxa"/>
          </w:tcPr>
          <w:p w14:paraId="759D76BB"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1年</w:t>
            </w:r>
          </w:p>
        </w:tc>
        <w:tc>
          <w:tcPr>
            <w:tcW w:w="3291" w:type="dxa"/>
          </w:tcPr>
          <w:p w14:paraId="34E0DB72"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电线电缆</w:t>
            </w:r>
          </w:p>
        </w:tc>
        <w:tc>
          <w:tcPr>
            <w:tcW w:w="1261" w:type="dxa"/>
          </w:tcPr>
          <w:p w14:paraId="314F7377"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5.67%</w:t>
            </w:r>
          </w:p>
        </w:tc>
      </w:tr>
      <w:tr w:rsidR="00C71F9C" w:rsidRPr="00B51B7C" w14:paraId="3E1A52E3" w14:textId="77777777" w:rsidTr="00EE1C59">
        <w:trPr>
          <w:jc w:val="center"/>
        </w:trPr>
        <w:tc>
          <w:tcPr>
            <w:tcW w:w="1696" w:type="dxa"/>
            <w:vAlign w:val="bottom"/>
          </w:tcPr>
          <w:p w14:paraId="2D581AA8"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客户二十三</w:t>
            </w:r>
          </w:p>
        </w:tc>
        <w:tc>
          <w:tcPr>
            <w:tcW w:w="1275" w:type="dxa"/>
          </w:tcPr>
          <w:p w14:paraId="28035DAC"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12,720.49</w:t>
            </w:r>
          </w:p>
        </w:tc>
        <w:tc>
          <w:tcPr>
            <w:tcW w:w="1246" w:type="dxa"/>
          </w:tcPr>
          <w:p w14:paraId="242D63A2"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25年</w:t>
            </w:r>
          </w:p>
        </w:tc>
        <w:tc>
          <w:tcPr>
            <w:tcW w:w="3291" w:type="dxa"/>
          </w:tcPr>
          <w:p w14:paraId="7C53F0A6"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电线电缆</w:t>
            </w:r>
          </w:p>
        </w:tc>
        <w:tc>
          <w:tcPr>
            <w:tcW w:w="1261" w:type="dxa"/>
          </w:tcPr>
          <w:p w14:paraId="3B44165A"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5.39%</w:t>
            </w:r>
          </w:p>
        </w:tc>
      </w:tr>
      <w:tr w:rsidR="00C71F9C" w:rsidRPr="00B51B7C" w14:paraId="247BF619" w14:textId="77777777" w:rsidTr="00EE1C59">
        <w:trPr>
          <w:jc w:val="center"/>
        </w:trPr>
        <w:tc>
          <w:tcPr>
            <w:tcW w:w="1696" w:type="dxa"/>
            <w:vAlign w:val="bottom"/>
          </w:tcPr>
          <w:p w14:paraId="12EAA04A"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客户二十四</w:t>
            </w:r>
          </w:p>
        </w:tc>
        <w:tc>
          <w:tcPr>
            <w:tcW w:w="1275" w:type="dxa"/>
          </w:tcPr>
          <w:p w14:paraId="4E13F7D8"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10,086.73</w:t>
            </w:r>
          </w:p>
        </w:tc>
        <w:tc>
          <w:tcPr>
            <w:tcW w:w="1246" w:type="dxa"/>
          </w:tcPr>
          <w:p w14:paraId="6F1805D0"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25年</w:t>
            </w:r>
          </w:p>
        </w:tc>
        <w:tc>
          <w:tcPr>
            <w:tcW w:w="3291" w:type="dxa"/>
          </w:tcPr>
          <w:p w14:paraId="07A3EF6E"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电线电缆</w:t>
            </w:r>
          </w:p>
        </w:tc>
        <w:tc>
          <w:tcPr>
            <w:tcW w:w="1261" w:type="dxa"/>
          </w:tcPr>
          <w:p w14:paraId="372513F9"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4.28%</w:t>
            </w:r>
          </w:p>
        </w:tc>
      </w:tr>
      <w:tr w:rsidR="00C71F9C" w:rsidRPr="00B51B7C" w14:paraId="100E009A" w14:textId="77777777" w:rsidTr="00EE1C59">
        <w:trPr>
          <w:jc w:val="center"/>
        </w:trPr>
        <w:tc>
          <w:tcPr>
            <w:tcW w:w="1696" w:type="dxa"/>
            <w:vAlign w:val="bottom"/>
          </w:tcPr>
          <w:p w14:paraId="429CF13A"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客户二十五</w:t>
            </w:r>
          </w:p>
        </w:tc>
        <w:tc>
          <w:tcPr>
            <w:tcW w:w="1275" w:type="dxa"/>
          </w:tcPr>
          <w:p w14:paraId="19DF173D"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6,812.06</w:t>
            </w:r>
          </w:p>
        </w:tc>
        <w:tc>
          <w:tcPr>
            <w:tcW w:w="1246" w:type="dxa"/>
          </w:tcPr>
          <w:p w14:paraId="1E8B387C"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16年</w:t>
            </w:r>
          </w:p>
        </w:tc>
        <w:tc>
          <w:tcPr>
            <w:tcW w:w="3291" w:type="dxa"/>
          </w:tcPr>
          <w:p w14:paraId="5E029ECC"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电缆料</w:t>
            </w:r>
          </w:p>
        </w:tc>
        <w:tc>
          <w:tcPr>
            <w:tcW w:w="1261" w:type="dxa"/>
          </w:tcPr>
          <w:p w14:paraId="2592E954"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2.89%</w:t>
            </w:r>
          </w:p>
        </w:tc>
      </w:tr>
      <w:tr w:rsidR="00C71F9C" w:rsidRPr="00B51B7C" w14:paraId="1D65E317" w14:textId="77777777" w:rsidTr="00EE1C59">
        <w:trPr>
          <w:jc w:val="center"/>
        </w:trPr>
        <w:tc>
          <w:tcPr>
            <w:tcW w:w="1696" w:type="dxa"/>
            <w:vAlign w:val="bottom"/>
          </w:tcPr>
          <w:p w14:paraId="0439D98F"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客户十八</w:t>
            </w:r>
          </w:p>
        </w:tc>
        <w:tc>
          <w:tcPr>
            <w:tcW w:w="1275" w:type="dxa"/>
          </w:tcPr>
          <w:p w14:paraId="3A5BEC9C"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5,830.26</w:t>
            </w:r>
          </w:p>
        </w:tc>
        <w:tc>
          <w:tcPr>
            <w:tcW w:w="1246" w:type="dxa"/>
          </w:tcPr>
          <w:p w14:paraId="7390F63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12年</w:t>
            </w:r>
          </w:p>
        </w:tc>
        <w:tc>
          <w:tcPr>
            <w:tcW w:w="3291" w:type="dxa"/>
          </w:tcPr>
          <w:p w14:paraId="1B4251C8"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电源线</w:t>
            </w:r>
          </w:p>
        </w:tc>
        <w:tc>
          <w:tcPr>
            <w:tcW w:w="1261" w:type="dxa"/>
          </w:tcPr>
          <w:p w14:paraId="5A482951"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2.47%</w:t>
            </w:r>
          </w:p>
        </w:tc>
      </w:tr>
      <w:tr w:rsidR="00C71F9C" w:rsidRPr="00B51B7C" w14:paraId="59D5A295" w14:textId="77777777" w:rsidTr="00EE1C59">
        <w:trPr>
          <w:jc w:val="center"/>
        </w:trPr>
        <w:tc>
          <w:tcPr>
            <w:tcW w:w="1696" w:type="dxa"/>
            <w:vAlign w:val="bottom"/>
          </w:tcPr>
          <w:p w14:paraId="68C5BAF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客户二十六</w:t>
            </w:r>
          </w:p>
        </w:tc>
        <w:tc>
          <w:tcPr>
            <w:tcW w:w="1275" w:type="dxa"/>
          </w:tcPr>
          <w:p w14:paraId="04A1F511"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5,091.10</w:t>
            </w:r>
          </w:p>
        </w:tc>
        <w:tc>
          <w:tcPr>
            <w:tcW w:w="1246" w:type="dxa"/>
          </w:tcPr>
          <w:p w14:paraId="54433928"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3年</w:t>
            </w:r>
          </w:p>
        </w:tc>
        <w:tc>
          <w:tcPr>
            <w:tcW w:w="3291" w:type="dxa"/>
          </w:tcPr>
          <w:p w14:paraId="31F4A546"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电线电缆</w:t>
            </w:r>
          </w:p>
        </w:tc>
        <w:tc>
          <w:tcPr>
            <w:tcW w:w="1261" w:type="dxa"/>
          </w:tcPr>
          <w:p w14:paraId="11753DEF"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2.16%</w:t>
            </w:r>
          </w:p>
        </w:tc>
      </w:tr>
      <w:tr w:rsidR="00C71F9C" w:rsidRPr="00B51B7C" w14:paraId="3981CF15" w14:textId="77777777" w:rsidTr="00EE1C59">
        <w:trPr>
          <w:jc w:val="center"/>
        </w:trPr>
        <w:tc>
          <w:tcPr>
            <w:tcW w:w="1696" w:type="dxa"/>
            <w:vAlign w:val="bottom"/>
          </w:tcPr>
          <w:p w14:paraId="73CB272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客户十九</w:t>
            </w:r>
          </w:p>
        </w:tc>
        <w:tc>
          <w:tcPr>
            <w:tcW w:w="1275" w:type="dxa"/>
          </w:tcPr>
          <w:p w14:paraId="53A950F7"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3,994.51</w:t>
            </w:r>
          </w:p>
        </w:tc>
        <w:tc>
          <w:tcPr>
            <w:tcW w:w="1246" w:type="dxa"/>
          </w:tcPr>
          <w:p w14:paraId="2193F94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13年</w:t>
            </w:r>
          </w:p>
        </w:tc>
        <w:tc>
          <w:tcPr>
            <w:tcW w:w="3291" w:type="dxa"/>
          </w:tcPr>
          <w:p w14:paraId="44CE3789"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电线电缆</w:t>
            </w:r>
          </w:p>
        </w:tc>
        <w:tc>
          <w:tcPr>
            <w:tcW w:w="1261" w:type="dxa"/>
          </w:tcPr>
          <w:p w14:paraId="3635657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1.69%</w:t>
            </w:r>
          </w:p>
        </w:tc>
      </w:tr>
      <w:tr w:rsidR="00C71F9C" w:rsidRPr="00B51B7C" w14:paraId="271E9F21" w14:textId="77777777" w:rsidTr="00EE1C59">
        <w:trPr>
          <w:jc w:val="center"/>
        </w:trPr>
        <w:tc>
          <w:tcPr>
            <w:tcW w:w="1696" w:type="dxa"/>
            <w:vAlign w:val="bottom"/>
          </w:tcPr>
          <w:p w14:paraId="43F23E7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客户二十七</w:t>
            </w:r>
          </w:p>
        </w:tc>
        <w:tc>
          <w:tcPr>
            <w:tcW w:w="1275" w:type="dxa"/>
          </w:tcPr>
          <w:p w14:paraId="3F52E29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3,507.86</w:t>
            </w:r>
          </w:p>
        </w:tc>
        <w:tc>
          <w:tcPr>
            <w:tcW w:w="1246" w:type="dxa"/>
          </w:tcPr>
          <w:p w14:paraId="69CAF399"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25年</w:t>
            </w:r>
          </w:p>
        </w:tc>
        <w:tc>
          <w:tcPr>
            <w:tcW w:w="3291" w:type="dxa"/>
          </w:tcPr>
          <w:p w14:paraId="29F0186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电线电缆</w:t>
            </w:r>
          </w:p>
        </w:tc>
        <w:tc>
          <w:tcPr>
            <w:tcW w:w="1261" w:type="dxa"/>
          </w:tcPr>
          <w:p w14:paraId="7AE465B4"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1.49%</w:t>
            </w:r>
          </w:p>
        </w:tc>
      </w:tr>
      <w:tr w:rsidR="00C71F9C" w:rsidRPr="00B51B7C" w14:paraId="2ACADF46" w14:textId="77777777" w:rsidTr="00EE1C59">
        <w:trPr>
          <w:jc w:val="center"/>
        </w:trPr>
        <w:tc>
          <w:tcPr>
            <w:tcW w:w="1696" w:type="dxa"/>
            <w:vAlign w:val="bottom"/>
          </w:tcPr>
          <w:p w14:paraId="5CCB8ED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客户二十八</w:t>
            </w:r>
          </w:p>
        </w:tc>
        <w:tc>
          <w:tcPr>
            <w:tcW w:w="1275" w:type="dxa"/>
          </w:tcPr>
          <w:p w14:paraId="08332CB1"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3,374.24</w:t>
            </w:r>
          </w:p>
        </w:tc>
        <w:tc>
          <w:tcPr>
            <w:tcW w:w="1246" w:type="dxa"/>
          </w:tcPr>
          <w:p w14:paraId="2E463554"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4年</w:t>
            </w:r>
          </w:p>
        </w:tc>
        <w:tc>
          <w:tcPr>
            <w:tcW w:w="3291" w:type="dxa"/>
          </w:tcPr>
          <w:p w14:paraId="5678A5BD"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rPr>
              <w:t>铝合金导线、电缆</w:t>
            </w:r>
          </w:p>
        </w:tc>
        <w:tc>
          <w:tcPr>
            <w:tcW w:w="1261" w:type="dxa"/>
          </w:tcPr>
          <w:p w14:paraId="6D7B35C6"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rPr>
              <w:t>1.43%</w:t>
            </w:r>
          </w:p>
        </w:tc>
      </w:tr>
      <w:tr w:rsidR="00C71F9C" w:rsidRPr="00B51B7C" w14:paraId="23C779CE" w14:textId="77777777" w:rsidTr="00EE1C59">
        <w:trPr>
          <w:jc w:val="center"/>
        </w:trPr>
        <w:tc>
          <w:tcPr>
            <w:tcW w:w="1696" w:type="dxa"/>
            <w:vAlign w:val="center"/>
          </w:tcPr>
          <w:p w14:paraId="43E43B19" w14:textId="77777777" w:rsidR="00C71F9C" w:rsidRPr="00B51B7C" w:rsidRDefault="00C71F9C" w:rsidP="00EE1C59">
            <w:pPr>
              <w:jc w:val="center"/>
              <w:rPr>
                <w:rFonts w:asciiTheme="minorEastAsia" w:hAnsiTheme="minorEastAsia"/>
                <w:b/>
                <w:szCs w:val="21"/>
              </w:rPr>
            </w:pPr>
            <w:r w:rsidRPr="00B51B7C">
              <w:rPr>
                <w:rFonts w:asciiTheme="minorEastAsia" w:hAnsiTheme="minorEastAsia" w:hint="eastAsia"/>
                <w:b/>
                <w:szCs w:val="21"/>
              </w:rPr>
              <w:t>合计</w:t>
            </w:r>
          </w:p>
        </w:tc>
        <w:tc>
          <w:tcPr>
            <w:tcW w:w="1275" w:type="dxa"/>
            <w:vAlign w:val="center"/>
          </w:tcPr>
          <w:p w14:paraId="25BC108A" w14:textId="77777777" w:rsidR="00C71F9C" w:rsidRPr="00B51B7C" w:rsidRDefault="00C71F9C" w:rsidP="00EE1C59">
            <w:pPr>
              <w:jc w:val="center"/>
              <w:rPr>
                <w:rFonts w:asciiTheme="minorEastAsia" w:hAnsiTheme="minorEastAsia"/>
                <w:b/>
                <w:szCs w:val="21"/>
              </w:rPr>
            </w:pPr>
            <w:r w:rsidRPr="00B51B7C">
              <w:rPr>
                <w:rFonts w:asciiTheme="minorEastAsia" w:hAnsiTheme="minorEastAsia" w:hint="eastAsia"/>
                <w:b/>
                <w:szCs w:val="21"/>
              </w:rPr>
              <w:fldChar w:fldCharType="begin"/>
            </w:r>
            <w:r w:rsidRPr="00B51B7C">
              <w:rPr>
                <w:rFonts w:asciiTheme="minorEastAsia" w:hAnsiTheme="minorEastAsia" w:hint="eastAsia"/>
                <w:b/>
                <w:szCs w:val="21"/>
              </w:rPr>
              <w:instrText xml:space="preserve"> =SUM(ABOVE) </w:instrText>
            </w:r>
            <w:r w:rsidRPr="00B51B7C">
              <w:rPr>
                <w:rFonts w:asciiTheme="minorEastAsia" w:hAnsiTheme="minorEastAsia" w:hint="eastAsia"/>
                <w:b/>
                <w:szCs w:val="21"/>
              </w:rPr>
              <w:fldChar w:fldCharType="separate"/>
            </w:r>
            <w:r w:rsidRPr="00B51B7C">
              <w:rPr>
                <w:rFonts w:asciiTheme="minorEastAsia" w:hAnsiTheme="minorEastAsia" w:hint="eastAsia"/>
                <w:b/>
                <w:noProof/>
                <w:szCs w:val="21"/>
              </w:rPr>
              <w:t>127,233.41</w:t>
            </w:r>
            <w:r w:rsidRPr="00B51B7C">
              <w:rPr>
                <w:rFonts w:asciiTheme="minorEastAsia" w:hAnsiTheme="minorEastAsia" w:hint="eastAsia"/>
                <w:b/>
                <w:szCs w:val="21"/>
              </w:rPr>
              <w:fldChar w:fldCharType="end"/>
            </w:r>
          </w:p>
        </w:tc>
        <w:tc>
          <w:tcPr>
            <w:tcW w:w="1246" w:type="dxa"/>
            <w:vAlign w:val="center"/>
          </w:tcPr>
          <w:p w14:paraId="3AD34B89" w14:textId="77777777" w:rsidR="00C71F9C" w:rsidRPr="00B51B7C" w:rsidRDefault="00C71F9C" w:rsidP="00EE1C59">
            <w:pPr>
              <w:jc w:val="center"/>
              <w:rPr>
                <w:rFonts w:asciiTheme="minorEastAsia" w:hAnsiTheme="minorEastAsia"/>
                <w:b/>
                <w:szCs w:val="21"/>
              </w:rPr>
            </w:pPr>
          </w:p>
        </w:tc>
        <w:tc>
          <w:tcPr>
            <w:tcW w:w="3291" w:type="dxa"/>
            <w:vAlign w:val="center"/>
          </w:tcPr>
          <w:p w14:paraId="57059299" w14:textId="77777777" w:rsidR="00C71F9C" w:rsidRPr="00B51B7C" w:rsidRDefault="00C71F9C" w:rsidP="00EE1C59">
            <w:pPr>
              <w:jc w:val="center"/>
              <w:rPr>
                <w:rFonts w:asciiTheme="minorEastAsia" w:hAnsiTheme="minorEastAsia"/>
                <w:b/>
                <w:szCs w:val="21"/>
              </w:rPr>
            </w:pPr>
          </w:p>
        </w:tc>
        <w:tc>
          <w:tcPr>
            <w:tcW w:w="1261" w:type="dxa"/>
            <w:vAlign w:val="center"/>
          </w:tcPr>
          <w:p w14:paraId="0BD5CA88" w14:textId="77777777" w:rsidR="00C71F9C" w:rsidRPr="00B51B7C" w:rsidRDefault="00C71F9C" w:rsidP="00EE1C59">
            <w:pPr>
              <w:jc w:val="center"/>
              <w:rPr>
                <w:rFonts w:asciiTheme="minorEastAsia" w:hAnsiTheme="minorEastAsia"/>
                <w:b/>
                <w:szCs w:val="21"/>
              </w:rPr>
            </w:pPr>
            <w:r w:rsidRPr="00B51B7C">
              <w:rPr>
                <w:rFonts w:asciiTheme="minorEastAsia" w:hAnsiTheme="minorEastAsia" w:hint="eastAsia"/>
                <w:b/>
                <w:szCs w:val="21"/>
              </w:rPr>
              <w:fldChar w:fldCharType="begin"/>
            </w:r>
            <w:r w:rsidRPr="00B51B7C">
              <w:rPr>
                <w:rFonts w:asciiTheme="minorEastAsia" w:hAnsiTheme="minorEastAsia" w:hint="eastAsia"/>
                <w:b/>
                <w:szCs w:val="21"/>
              </w:rPr>
              <w:instrText xml:space="preserve"> =SUM(ABOVE)*100 \# "0.00%" </w:instrText>
            </w:r>
            <w:r w:rsidRPr="00B51B7C">
              <w:rPr>
                <w:rFonts w:asciiTheme="minorEastAsia" w:hAnsiTheme="minorEastAsia" w:hint="eastAsia"/>
                <w:b/>
                <w:szCs w:val="21"/>
              </w:rPr>
              <w:fldChar w:fldCharType="separate"/>
            </w:r>
            <w:r w:rsidRPr="00B51B7C">
              <w:rPr>
                <w:rFonts w:asciiTheme="minorEastAsia" w:hAnsiTheme="minorEastAsia" w:hint="eastAsia"/>
                <w:b/>
                <w:noProof/>
                <w:szCs w:val="21"/>
              </w:rPr>
              <w:t>53.95%</w:t>
            </w:r>
            <w:r w:rsidRPr="00B51B7C">
              <w:rPr>
                <w:rFonts w:asciiTheme="minorEastAsia" w:hAnsiTheme="minorEastAsia" w:hint="eastAsia"/>
                <w:b/>
                <w:szCs w:val="21"/>
              </w:rPr>
              <w:fldChar w:fldCharType="end"/>
            </w:r>
          </w:p>
        </w:tc>
      </w:tr>
    </w:tbl>
    <w:p w14:paraId="42B81CF5" w14:textId="77777777" w:rsidR="00B51B7C" w:rsidRDefault="00B51B7C" w:rsidP="00C71F9C">
      <w:pPr>
        <w:spacing w:line="360" w:lineRule="auto"/>
        <w:ind w:firstLineChars="200" w:firstLine="480"/>
        <w:rPr>
          <w:rFonts w:asciiTheme="minorEastAsia" w:hAnsiTheme="minorEastAsia" w:cs="宋体"/>
          <w:kern w:val="0"/>
          <w:sz w:val="24"/>
        </w:rPr>
      </w:pPr>
    </w:p>
    <w:p w14:paraId="0C5AEA0A" w14:textId="77777777" w:rsidR="00B51B7C" w:rsidRDefault="00B51B7C">
      <w:pPr>
        <w:widowControl/>
        <w:jc w:val="left"/>
        <w:rPr>
          <w:rFonts w:asciiTheme="minorEastAsia" w:hAnsiTheme="minorEastAsia" w:cs="宋体"/>
          <w:kern w:val="0"/>
          <w:sz w:val="24"/>
        </w:rPr>
      </w:pPr>
      <w:r>
        <w:rPr>
          <w:rFonts w:asciiTheme="minorEastAsia" w:hAnsiTheme="minorEastAsia" w:cs="宋体"/>
          <w:kern w:val="0"/>
          <w:sz w:val="24"/>
        </w:rPr>
        <w:br w:type="page"/>
      </w:r>
    </w:p>
    <w:p w14:paraId="3698A8BB" w14:textId="2C3BC756" w:rsidR="00C71F9C" w:rsidRPr="00B51B7C" w:rsidRDefault="00C71F9C" w:rsidP="00C71F9C">
      <w:pPr>
        <w:spacing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lastRenderedPageBreak/>
        <w:t>公司202</w:t>
      </w:r>
      <w:r w:rsidRPr="00B51B7C">
        <w:rPr>
          <w:rFonts w:asciiTheme="minorEastAsia" w:hAnsiTheme="minorEastAsia" w:cs="宋体"/>
          <w:kern w:val="0"/>
          <w:sz w:val="24"/>
        </w:rPr>
        <w:t>3</w:t>
      </w:r>
      <w:r w:rsidRPr="00B51B7C">
        <w:rPr>
          <w:rFonts w:asciiTheme="minorEastAsia" w:hAnsiTheme="minorEastAsia" w:cs="宋体" w:hint="eastAsia"/>
          <w:kern w:val="0"/>
          <w:sz w:val="24"/>
        </w:rPr>
        <w:t>年排名前十客户：</w:t>
      </w:r>
    </w:p>
    <w:p w14:paraId="198DE00F" w14:textId="77777777" w:rsidR="00C71F9C" w:rsidRPr="00B51B7C" w:rsidRDefault="00C71F9C" w:rsidP="00C71F9C">
      <w:pPr>
        <w:spacing w:line="360" w:lineRule="auto"/>
        <w:ind w:firstLineChars="200" w:firstLine="480"/>
        <w:jc w:val="right"/>
        <w:rPr>
          <w:rFonts w:asciiTheme="minorEastAsia" w:hAnsiTheme="minorEastAsia" w:cs="宋体"/>
          <w:bCs/>
          <w:kern w:val="0"/>
          <w:sz w:val="24"/>
          <w:lang w:bidi="ar"/>
        </w:rPr>
      </w:pPr>
      <w:r w:rsidRPr="00B51B7C">
        <w:rPr>
          <w:rFonts w:asciiTheme="minorEastAsia" w:hAnsiTheme="minorEastAsia" w:cs="宋体" w:hint="eastAsia"/>
          <w:bCs/>
          <w:kern w:val="0"/>
          <w:sz w:val="24"/>
          <w:lang w:bidi="ar"/>
        </w:rPr>
        <w:t>单位：人民币万元</w:t>
      </w:r>
    </w:p>
    <w:tbl>
      <w:tblPr>
        <w:tblStyle w:val="ae"/>
        <w:tblW w:w="9053" w:type="dxa"/>
        <w:jc w:val="center"/>
        <w:tblLook w:val="04A0" w:firstRow="1" w:lastRow="0" w:firstColumn="1" w:lastColumn="0" w:noHBand="0" w:noVBand="1"/>
      </w:tblPr>
      <w:tblGrid>
        <w:gridCol w:w="1696"/>
        <w:gridCol w:w="1275"/>
        <w:gridCol w:w="1246"/>
        <w:gridCol w:w="3575"/>
        <w:gridCol w:w="1261"/>
      </w:tblGrid>
      <w:tr w:rsidR="00C71F9C" w:rsidRPr="00B51B7C" w14:paraId="2A1CDB14" w14:textId="77777777" w:rsidTr="00EE1C59">
        <w:trPr>
          <w:jc w:val="center"/>
        </w:trPr>
        <w:tc>
          <w:tcPr>
            <w:tcW w:w="1696" w:type="dxa"/>
            <w:vAlign w:val="center"/>
          </w:tcPr>
          <w:p w14:paraId="72D955EB"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客户名称</w:t>
            </w:r>
          </w:p>
        </w:tc>
        <w:tc>
          <w:tcPr>
            <w:tcW w:w="1275" w:type="dxa"/>
            <w:vAlign w:val="center"/>
          </w:tcPr>
          <w:p w14:paraId="16C21A99"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收入金额</w:t>
            </w:r>
          </w:p>
        </w:tc>
        <w:tc>
          <w:tcPr>
            <w:tcW w:w="1246" w:type="dxa"/>
            <w:vAlign w:val="center"/>
          </w:tcPr>
          <w:p w14:paraId="2F832DBC"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合作年限</w:t>
            </w:r>
          </w:p>
        </w:tc>
        <w:tc>
          <w:tcPr>
            <w:tcW w:w="3575" w:type="dxa"/>
            <w:vAlign w:val="center"/>
          </w:tcPr>
          <w:p w14:paraId="567E4A14"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销售产品</w:t>
            </w:r>
          </w:p>
        </w:tc>
        <w:tc>
          <w:tcPr>
            <w:tcW w:w="1261" w:type="dxa"/>
            <w:vAlign w:val="center"/>
          </w:tcPr>
          <w:p w14:paraId="45ECD7BA"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收入占比</w:t>
            </w:r>
          </w:p>
        </w:tc>
      </w:tr>
      <w:tr w:rsidR="00C71F9C" w:rsidRPr="00B51B7C" w14:paraId="05FCE441" w14:textId="77777777" w:rsidTr="00EE1C59">
        <w:trPr>
          <w:jc w:val="center"/>
        </w:trPr>
        <w:tc>
          <w:tcPr>
            <w:tcW w:w="1696" w:type="dxa"/>
            <w:vAlign w:val="center"/>
          </w:tcPr>
          <w:p w14:paraId="300D664F"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客户十七</w:t>
            </w:r>
          </w:p>
        </w:tc>
        <w:tc>
          <w:tcPr>
            <w:tcW w:w="1275" w:type="dxa"/>
          </w:tcPr>
          <w:p w14:paraId="0D1AA896"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30,319.68</w:t>
            </w:r>
          </w:p>
        </w:tc>
        <w:tc>
          <w:tcPr>
            <w:tcW w:w="1246" w:type="dxa"/>
          </w:tcPr>
          <w:p w14:paraId="52C24BB2"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1年 </w:t>
            </w:r>
          </w:p>
        </w:tc>
        <w:tc>
          <w:tcPr>
            <w:tcW w:w="3575" w:type="dxa"/>
          </w:tcPr>
          <w:p w14:paraId="02DED744"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61" w:type="dxa"/>
          </w:tcPr>
          <w:p w14:paraId="39F4F8E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7.48%</w:t>
            </w:r>
          </w:p>
        </w:tc>
      </w:tr>
      <w:tr w:rsidR="00C71F9C" w:rsidRPr="00B51B7C" w14:paraId="5C45CCEA" w14:textId="77777777" w:rsidTr="00EE1C59">
        <w:trPr>
          <w:jc w:val="center"/>
        </w:trPr>
        <w:tc>
          <w:tcPr>
            <w:tcW w:w="1696" w:type="dxa"/>
            <w:vAlign w:val="center"/>
          </w:tcPr>
          <w:p w14:paraId="51CD362D"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客户二十九</w:t>
            </w:r>
          </w:p>
        </w:tc>
        <w:tc>
          <w:tcPr>
            <w:tcW w:w="1275" w:type="dxa"/>
          </w:tcPr>
          <w:p w14:paraId="48A44EC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27,163.91</w:t>
            </w:r>
          </w:p>
        </w:tc>
        <w:tc>
          <w:tcPr>
            <w:tcW w:w="1246" w:type="dxa"/>
          </w:tcPr>
          <w:p w14:paraId="626E76B0"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2年 </w:t>
            </w:r>
          </w:p>
        </w:tc>
        <w:tc>
          <w:tcPr>
            <w:tcW w:w="3575" w:type="dxa"/>
          </w:tcPr>
          <w:p w14:paraId="42CC34B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电池片及组件加工 </w:t>
            </w:r>
          </w:p>
        </w:tc>
        <w:tc>
          <w:tcPr>
            <w:tcW w:w="1261" w:type="dxa"/>
          </w:tcPr>
          <w:p w14:paraId="2F0E8D0C"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6.71%</w:t>
            </w:r>
          </w:p>
        </w:tc>
      </w:tr>
      <w:tr w:rsidR="00C71F9C" w:rsidRPr="00B51B7C" w14:paraId="41036EBE" w14:textId="77777777" w:rsidTr="00EE1C59">
        <w:trPr>
          <w:jc w:val="center"/>
        </w:trPr>
        <w:tc>
          <w:tcPr>
            <w:tcW w:w="1696" w:type="dxa"/>
            <w:vAlign w:val="center"/>
          </w:tcPr>
          <w:p w14:paraId="7CD318C0"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w:t>
            </w:r>
          </w:p>
        </w:tc>
        <w:tc>
          <w:tcPr>
            <w:tcW w:w="1275" w:type="dxa"/>
          </w:tcPr>
          <w:p w14:paraId="49698598"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22,024.53</w:t>
            </w:r>
          </w:p>
        </w:tc>
        <w:tc>
          <w:tcPr>
            <w:tcW w:w="1246" w:type="dxa"/>
          </w:tcPr>
          <w:p w14:paraId="7036FE32"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2年 </w:t>
            </w:r>
          </w:p>
        </w:tc>
        <w:tc>
          <w:tcPr>
            <w:tcW w:w="3575" w:type="dxa"/>
          </w:tcPr>
          <w:p w14:paraId="08C2A62D"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电池片及组件，电池片及组件加工</w:t>
            </w:r>
          </w:p>
        </w:tc>
        <w:tc>
          <w:tcPr>
            <w:tcW w:w="1261" w:type="dxa"/>
          </w:tcPr>
          <w:p w14:paraId="2E6DAFF1"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5.44%</w:t>
            </w:r>
          </w:p>
        </w:tc>
      </w:tr>
      <w:tr w:rsidR="00C71F9C" w:rsidRPr="00B51B7C" w14:paraId="12A7D318" w14:textId="77777777" w:rsidTr="00EE1C59">
        <w:trPr>
          <w:jc w:val="center"/>
        </w:trPr>
        <w:tc>
          <w:tcPr>
            <w:tcW w:w="1696" w:type="dxa"/>
            <w:vAlign w:val="center"/>
          </w:tcPr>
          <w:p w14:paraId="3BBC3FB9"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客户二十五</w:t>
            </w:r>
          </w:p>
        </w:tc>
        <w:tc>
          <w:tcPr>
            <w:tcW w:w="1275" w:type="dxa"/>
          </w:tcPr>
          <w:p w14:paraId="3FE567BC"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10,545.06</w:t>
            </w:r>
          </w:p>
        </w:tc>
        <w:tc>
          <w:tcPr>
            <w:tcW w:w="1246" w:type="dxa"/>
          </w:tcPr>
          <w:p w14:paraId="5EC974BB"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15年 </w:t>
            </w:r>
          </w:p>
        </w:tc>
        <w:tc>
          <w:tcPr>
            <w:tcW w:w="3575" w:type="dxa"/>
          </w:tcPr>
          <w:p w14:paraId="7190172D"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电缆料 </w:t>
            </w:r>
          </w:p>
        </w:tc>
        <w:tc>
          <w:tcPr>
            <w:tcW w:w="1261" w:type="dxa"/>
          </w:tcPr>
          <w:p w14:paraId="3FD6131B"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2.60%</w:t>
            </w:r>
          </w:p>
        </w:tc>
      </w:tr>
      <w:tr w:rsidR="00C71F9C" w:rsidRPr="00B51B7C" w14:paraId="47B371BD" w14:textId="77777777" w:rsidTr="00EE1C59">
        <w:trPr>
          <w:jc w:val="center"/>
        </w:trPr>
        <w:tc>
          <w:tcPr>
            <w:tcW w:w="1696" w:type="dxa"/>
            <w:vAlign w:val="center"/>
          </w:tcPr>
          <w:p w14:paraId="4B5A02DB"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客户三十一</w:t>
            </w:r>
          </w:p>
        </w:tc>
        <w:tc>
          <w:tcPr>
            <w:tcW w:w="1275" w:type="dxa"/>
          </w:tcPr>
          <w:p w14:paraId="572C5BCE"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9,100.96</w:t>
            </w:r>
          </w:p>
        </w:tc>
        <w:tc>
          <w:tcPr>
            <w:tcW w:w="1246" w:type="dxa"/>
          </w:tcPr>
          <w:p w14:paraId="5BCADC47"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4年 </w:t>
            </w:r>
          </w:p>
        </w:tc>
        <w:tc>
          <w:tcPr>
            <w:tcW w:w="3575" w:type="dxa"/>
          </w:tcPr>
          <w:p w14:paraId="107185F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电池片及组件、电池片及组件加工</w:t>
            </w:r>
          </w:p>
        </w:tc>
        <w:tc>
          <w:tcPr>
            <w:tcW w:w="1261" w:type="dxa"/>
          </w:tcPr>
          <w:p w14:paraId="6E2CCCA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2.25%</w:t>
            </w:r>
          </w:p>
        </w:tc>
      </w:tr>
      <w:tr w:rsidR="00C71F9C" w:rsidRPr="00B51B7C" w14:paraId="0F6275CC" w14:textId="77777777" w:rsidTr="00EE1C59">
        <w:trPr>
          <w:jc w:val="center"/>
        </w:trPr>
        <w:tc>
          <w:tcPr>
            <w:tcW w:w="1696" w:type="dxa"/>
            <w:vAlign w:val="center"/>
          </w:tcPr>
          <w:p w14:paraId="4A1F487C"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客户三十二</w:t>
            </w:r>
          </w:p>
        </w:tc>
        <w:tc>
          <w:tcPr>
            <w:tcW w:w="1275" w:type="dxa"/>
          </w:tcPr>
          <w:p w14:paraId="2D2C9B4F"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9,082.55</w:t>
            </w:r>
          </w:p>
        </w:tc>
        <w:tc>
          <w:tcPr>
            <w:tcW w:w="1246" w:type="dxa"/>
          </w:tcPr>
          <w:p w14:paraId="234EEC82"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4年 </w:t>
            </w:r>
          </w:p>
        </w:tc>
        <w:tc>
          <w:tcPr>
            <w:tcW w:w="3575" w:type="dxa"/>
          </w:tcPr>
          <w:p w14:paraId="25D403A8"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61" w:type="dxa"/>
          </w:tcPr>
          <w:p w14:paraId="519D01FF"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2.24%</w:t>
            </w:r>
          </w:p>
        </w:tc>
      </w:tr>
      <w:tr w:rsidR="00C71F9C" w:rsidRPr="00B51B7C" w14:paraId="0A0A9433" w14:textId="77777777" w:rsidTr="00EE1C59">
        <w:trPr>
          <w:jc w:val="center"/>
        </w:trPr>
        <w:tc>
          <w:tcPr>
            <w:tcW w:w="1696" w:type="dxa"/>
            <w:vAlign w:val="center"/>
          </w:tcPr>
          <w:p w14:paraId="4F4DC4A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客户三十三</w:t>
            </w:r>
          </w:p>
        </w:tc>
        <w:tc>
          <w:tcPr>
            <w:tcW w:w="1275" w:type="dxa"/>
          </w:tcPr>
          <w:p w14:paraId="757D7D86"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6,697.00</w:t>
            </w:r>
          </w:p>
        </w:tc>
        <w:tc>
          <w:tcPr>
            <w:tcW w:w="1246" w:type="dxa"/>
          </w:tcPr>
          <w:p w14:paraId="6A45757D"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2年 </w:t>
            </w:r>
          </w:p>
        </w:tc>
        <w:tc>
          <w:tcPr>
            <w:tcW w:w="3575" w:type="dxa"/>
          </w:tcPr>
          <w:p w14:paraId="05B92756"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61" w:type="dxa"/>
          </w:tcPr>
          <w:p w14:paraId="2B26C970"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1.65%</w:t>
            </w:r>
          </w:p>
        </w:tc>
      </w:tr>
      <w:tr w:rsidR="00C71F9C" w:rsidRPr="00B51B7C" w14:paraId="61374C73" w14:textId="77777777" w:rsidTr="00EE1C59">
        <w:trPr>
          <w:jc w:val="center"/>
        </w:trPr>
        <w:tc>
          <w:tcPr>
            <w:tcW w:w="1696" w:type="dxa"/>
            <w:vAlign w:val="center"/>
          </w:tcPr>
          <w:p w14:paraId="52E41914"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客户三十四</w:t>
            </w:r>
          </w:p>
        </w:tc>
        <w:tc>
          <w:tcPr>
            <w:tcW w:w="1275" w:type="dxa"/>
          </w:tcPr>
          <w:p w14:paraId="13A30915"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6,437.17</w:t>
            </w:r>
          </w:p>
        </w:tc>
        <w:tc>
          <w:tcPr>
            <w:tcW w:w="1246" w:type="dxa"/>
          </w:tcPr>
          <w:p w14:paraId="70A024EC"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7年</w:t>
            </w:r>
          </w:p>
        </w:tc>
        <w:tc>
          <w:tcPr>
            <w:tcW w:w="3575" w:type="dxa"/>
          </w:tcPr>
          <w:p w14:paraId="4AB557B6"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电缆料</w:t>
            </w:r>
          </w:p>
        </w:tc>
        <w:tc>
          <w:tcPr>
            <w:tcW w:w="1261" w:type="dxa"/>
          </w:tcPr>
          <w:p w14:paraId="29F2C33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1.59%</w:t>
            </w:r>
          </w:p>
        </w:tc>
      </w:tr>
      <w:tr w:rsidR="00C71F9C" w:rsidRPr="00B51B7C" w14:paraId="2AC76C0C" w14:textId="77777777" w:rsidTr="00EE1C59">
        <w:trPr>
          <w:jc w:val="center"/>
        </w:trPr>
        <w:tc>
          <w:tcPr>
            <w:tcW w:w="1696" w:type="dxa"/>
            <w:vAlign w:val="center"/>
          </w:tcPr>
          <w:p w14:paraId="217CB836"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客户二十四</w:t>
            </w:r>
          </w:p>
        </w:tc>
        <w:tc>
          <w:tcPr>
            <w:tcW w:w="1275" w:type="dxa"/>
          </w:tcPr>
          <w:p w14:paraId="48B3C0B0"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6,170.57</w:t>
            </w:r>
          </w:p>
        </w:tc>
        <w:tc>
          <w:tcPr>
            <w:tcW w:w="1246" w:type="dxa"/>
          </w:tcPr>
          <w:p w14:paraId="32F40E4F"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24年</w:t>
            </w:r>
          </w:p>
        </w:tc>
        <w:tc>
          <w:tcPr>
            <w:tcW w:w="3575" w:type="dxa"/>
          </w:tcPr>
          <w:p w14:paraId="57D5B587"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电线电缆</w:t>
            </w:r>
          </w:p>
        </w:tc>
        <w:tc>
          <w:tcPr>
            <w:tcW w:w="1261" w:type="dxa"/>
          </w:tcPr>
          <w:p w14:paraId="3CA1EB2A"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1.52%</w:t>
            </w:r>
          </w:p>
        </w:tc>
      </w:tr>
      <w:tr w:rsidR="00C71F9C" w:rsidRPr="00B51B7C" w14:paraId="1AE496F2" w14:textId="77777777" w:rsidTr="00EE1C59">
        <w:trPr>
          <w:jc w:val="center"/>
        </w:trPr>
        <w:tc>
          <w:tcPr>
            <w:tcW w:w="1696" w:type="dxa"/>
            <w:vAlign w:val="center"/>
          </w:tcPr>
          <w:p w14:paraId="3F88CE4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客户十八</w:t>
            </w:r>
          </w:p>
        </w:tc>
        <w:tc>
          <w:tcPr>
            <w:tcW w:w="1275" w:type="dxa"/>
          </w:tcPr>
          <w:p w14:paraId="7E5DF299"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6,081.61</w:t>
            </w:r>
          </w:p>
        </w:tc>
        <w:tc>
          <w:tcPr>
            <w:tcW w:w="1246" w:type="dxa"/>
          </w:tcPr>
          <w:p w14:paraId="7530C6FF"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11年 </w:t>
            </w:r>
          </w:p>
        </w:tc>
        <w:tc>
          <w:tcPr>
            <w:tcW w:w="3575" w:type="dxa"/>
          </w:tcPr>
          <w:p w14:paraId="6B4F28BC"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 xml:space="preserve"> 电源线 </w:t>
            </w:r>
          </w:p>
        </w:tc>
        <w:tc>
          <w:tcPr>
            <w:tcW w:w="1261" w:type="dxa"/>
          </w:tcPr>
          <w:p w14:paraId="56DA9720"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1.50%</w:t>
            </w:r>
          </w:p>
        </w:tc>
      </w:tr>
      <w:tr w:rsidR="00C71F9C" w:rsidRPr="00B51B7C" w14:paraId="42A87234" w14:textId="77777777" w:rsidTr="00EE1C59">
        <w:trPr>
          <w:jc w:val="center"/>
        </w:trPr>
        <w:tc>
          <w:tcPr>
            <w:tcW w:w="1696" w:type="dxa"/>
            <w:vAlign w:val="center"/>
          </w:tcPr>
          <w:p w14:paraId="4E7F801B" w14:textId="77777777" w:rsidR="00C71F9C" w:rsidRPr="00B51B7C" w:rsidRDefault="00C71F9C" w:rsidP="00EE1C59">
            <w:pPr>
              <w:jc w:val="center"/>
              <w:rPr>
                <w:rFonts w:asciiTheme="minorEastAsia" w:hAnsiTheme="minorEastAsia"/>
                <w:b/>
                <w:szCs w:val="21"/>
              </w:rPr>
            </w:pPr>
            <w:r w:rsidRPr="00B51B7C">
              <w:rPr>
                <w:rFonts w:asciiTheme="minorEastAsia" w:hAnsiTheme="minorEastAsia" w:hint="eastAsia"/>
                <w:b/>
                <w:szCs w:val="21"/>
              </w:rPr>
              <w:t>合计</w:t>
            </w:r>
          </w:p>
        </w:tc>
        <w:tc>
          <w:tcPr>
            <w:tcW w:w="1275" w:type="dxa"/>
            <w:vAlign w:val="center"/>
          </w:tcPr>
          <w:p w14:paraId="0C625C83" w14:textId="77777777" w:rsidR="00C71F9C" w:rsidRPr="00B51B7C" w:rsidRDefault="00C71F9C" w:rsidP="00EE1C59">
            <w:pPr>
              <w:jc w:val="center"/>
              <w:rPr>
                <w:rFonts w:asciiTheme="minorEastAsia" w:hAnsiTheme="minorEastAsia"/>
                <w:b/>
                <w:szCs w:val="21"/>
              </w:rPr>
            </w:pPr>
            <w:r w:rsidRPr="00B51B7C">
              <w:rPr>
                <w:rFonts w:asciiTheme="minorEastAsia" w:hAnsiTheme="minorEastAsia" w:hint="eastAsia"/>
                <w:b/>
                <w:szCs w:val="21"/>
              </w:rPr>
              <w:fldChar w:fldCharType="begin"/>
            </w:r>
            <w:r w:rsidRPr="00B51B7C">
              <w:rPr>
                <w:rFonts w:asciiTheme="minorEastAsia" w:hAnsiTheme="minorEastAsia" w:hint="eastAsia"/>
                <w:b/>
                <w:szCs w:val="21"/>
              </w:rPr>
              <w:instrText xml:space="preserve"> =SUM(ABOVE) </w:instrText>
            </w:r>
            <w:r w:rsidRPr="00B51B7C">
              <w:rPr>
                <w:rFonts w:asciiTheme="minorEastAsia" w:hAnsiTheme="minorEastAsia" w:hint="eastAsia"/>
                <w:b/>
                <w:szCs w:val="21"/>
              </w:rPr>
              <w:fldChar w:fldCharType="separate"/>
            </w:r>
            <w:r w:rsidRPr="00B51B7C">
              <w:rPr>
                <w:rFonts w:asciiTheme="minorEastAsia" w:hAnsiTheme="minorEastAsia" w:hint="eastAsia"/>
                <w:b/>
                <w:noProof/>
                <w:szCs w:val="21"/>
              </w:rPr>
              <w:t>133,623.04</w:t>
            </w:r>
            <w:r w:rsidRPr="00B51B7C">
              <w:rPr>
                <w:rFonts w:asciiTheme="minorEastAsia" w:hAnsiTheme="minorEastAsia" w:hint="eastAsia"/>
                <w:b/>
                <w:szCs w:val="21"/>
              </w:rPr>
              <w:fldChar w:fldCharType="end"/>
            </w:r>
          </w:p>
        </w:tc>
        <w:tc>
          <w:tcPr>
            <w:tcW w:w="1246" w:type="dxa"/>
            <w:vAlign w:val="center"/>
          </w:tcPr>
          <w:p w14:paraId="3483B2C1" w14:textId="77777777" w:rsidR="00C71F9C" w:rsidRPr="00B51B7C" w:rsidRDefault="00C71F9C" w:rsidP="00EE1C59">
            <w:pPr>
              <w:jc w:val="center"/>
              <w:rPr>
                <w:rFonts w:asciiTheme="minorEastAsia" w:hAnsiTheme="minorEastAsia"/>
                <w:b/>
                <w:szCs w:val="21"/>
              </w:rPr>
            </w:pPr>
          </w:p>
        </w:tc>
        <w:tc>
          <w:tcPr>
            <w:tcW w:w="3575" w:type="dxa"/>
            <w:vAlign w:val="center"/>
          </w:tcPr>
          <w:p w14:paraId="3B6D738D" w14:textId="77777777" w:rsidR="00C71F9C" w:rsidRPr="00B51B7C" w:rsidRDefault="00C71F9C" w:rsidP="00EE1C59">
            <w:pPr>
              <w:jc w:val="center"/>
              <w:rPr>
                <w:rFonts w:asciiTheme="minorEastAsia" w:hAnsiTheme="minorEastAsia"/>
                <w:b/>
                <w:szCs w:val="21"/>
              </w:rPr>
            </w:pPr>
          </w:p>
        </w:tc>
        <w:tc>
          <w:tcPr>
            <w:tcW w:w="1261" w:type="dxa"/>
            <w:vAlign w:val="center"/>
          </w:tcPr>
          <w:p w14:paraId="70F6AF1A" w14:textId="77777777" w:rsidR="00C71F9C" w:rsidRPr="00B51B7C" w:rsidRDefault="00C71F9C" w:rsidP="00EE1C59">
            <w:pPr>
              <w:jc w:val="center"/>
              <w:rPr>
                <w:rFonts w:asciiTheme="minorEastAsia" w:hAnsiTheme="minorEastAsia"/>
                <w:b/>
                <w:szCs w:val="21"/>
              </w:rPr>
            </w:pPr>
            <w:r w:rsidRPr="00B51B7C">
              <w:rPr>
                <w:rFonts w:asciiTheme="minorEastAsia" w:hAnsiTheme="minorEastAsia" w:hint="eastAsia"/>
                <w:b/>
                <w:szCs w:val="21"/>
              </w:rPr>
              <w:fldChar w:fldCharType="begin"/>
            </w:r>
            <w:r w:rsidRPr="00B51B7C">
              <w:rPr>
                <w:rFonts w:asciiTheme="minorEastAsia" w:hAnsiTheme="minorEastAsia" w:hint="eastAsia"/>
                <w:b/>
                <w:szCs w:val="21"/>
              </w:rPr>
              <w:instrText xml:space="preserve"> =SUM(ABOVE)*100 \# "0.00%" </w:instrText>
            </w:r>
            <w:r w:rsidRPr="00B51B7C">
              <w:rPr>
                <w:rFonts w:asciiTheme="minorEastAsia" w:hAnsiTheme="minorEastAsia" w:hint="eastAsia"/>
                <w:b/>
                <w:szCs w:val="21"/>
              </w:rPr>
              <w:fldChar w:fldCharType="separate"/>
            </w:r>
            <w:r w:rsidRPr="00B51B7C">
              <w:rPr>
                <w:rFonts w:asciiTheme="minorEastAsia" w:hAnsiTheme="minorEastAsia" w:hint="eastAsia"/>
                <w:b/>
                <w:noProof/>
                <w:szCs w:val="21"/>
              </w:rPr>
              <w:t>32.98%</w:t>
            </w:r>
            <w:r w:rsidRPr="00B51B7C">
              <w:rPr>
                <w:rFonts w:asciiTheme="minorEastAsia" w:hAnsiTheme="minorEastAsia" w:hint="eastAsia"/>
                <w:b/>
                <w:szCs w:val="21"/>
              </w:rPr>
              <w:fldChar w:fldCharType="end"/>
            </w:r>
          </w:p>
        </w:tc>
      </w:tr>
    </w:tbl>
    <w:p w14:paraId="4363227C" w14:textId="77777777" w:rsidR="00C71F9C" w:rsidRPr="00B51B7C" w:rsidRDefault="00C71F9C" w:rsidP="00C71F9C">
      <w:pPr>
        <w:spacing w:beforeLines="50" w:before="156" w:line="360" w:lineRule="auto"/>
        <w:ind w:firstLineChars="200" w:firstLine="480"/>
        <w:rPr>
          <w:rFonts w:asciiTheme="minorEastAsia" w:hAnsiTheme="minorEastAsia" w:cs="宋体"/>
          <w:kern w:val="0"/>
          <w:sz w:val="24"/>
        </w:rPr>
      </w:pPr>
      <w:r w:rsidRPr="00B51B7C">
        <w:rPr>
          <w:rFonts w:asciiTheme="minorEastAsia" w:hAnsiTheme="minorEastAsia" w:cs="宋体" w:hint="eastAsia"/>
          <w:kern w:val="0"/>
          <w:sz w:val="24"/>
        </w:rPr>
        <w:t>公司202</w:t>
      </w:r>
      <w:r w:rsidRPr="00B51B7C">
        <w:rPr>
          <w:rFonts w:asciiTheme="minorEastAsia" w:hAnsiTheme="minorEastAsia" w:cs="宋体"/>
          <w:kern w:val="0"/>
          <w:sz w:val="24"/>
        </w:rPr>
        <w:t>2</w:t>
      </w:r>
      <w:r w:rsidRPr="00B51B7C">
        <w:rPr>
          <w:rFonts w:asciiTheme="minorEastAsia" w:hAnsiTheme="minorEastAsia" w:cs="宋体" w:hint="eastAsia"/>
          <w:kern w:val="0"/>
          <w:sz w:val="24"/>
        </w:rPr>
        <w:t>年排名前十客户：</w:t>
      </w:r>
    </w:p>
    <w:p w14:paraId="4D2EBF4B" w14:textId="77777777" w:rsidR="00C71F9C" w:rsidRPr="00B51B7C" w:rsidRDefault="00C71F9C" w:rsidP="00C71F9C">
      <w:pPr>
        <w:spacing w:line="360" w:lineRule="auto"/>
        <w:ind w:firstLineChars="200" w:firstLine="480"/>
        <w:jc w:val="right"/>
        <w:rPr>
          <w:rFonts w:asciiTheme="minorEastAsia" w:hAnsiTheme="minorEastAsia" w:cs="宋体"/>
          <w:bCs/>
          <w:kern w:val="0"/>
          <w:sz w:val="24"/>
          <w:lang w:bidi="ar"/>
        </w:rPr>
      </w:pPr>
      <w:r w:rsidRPr="00B51B7C">
        <w:rPr>
          <w:rFonts w:asciiTheme="minorEastAsia" w:hAnsiTheme="minorEastAsia" w:cs="宋体" w:hint="eastAsia"/>
          <w:bCs/>
          <w:kern w:val="0"/>
          <w:sz w:val="24"/>
          <w:lang w:bidi="ar"/>
        </w:rPr>
        <w:t>单位：人民币万元</w:t>
      </w:r>
    </w:p>
    <w:tbl>
      <w:tblPr>
        <w:tblStyle w:val="ae"/>
        <w:tblW w:w="9209" w:type="dxa"/>
        <w:jc w:val="center"/>
        <w:tblLook w:val="04A0" w:firstRow="1" w:lastRow="0" w:firstColumn="1" w:lastColumn="0" w:noHBand="0" w:noVBand="1"/>
      </w:tblPr>
      <w:tblGrid>
        <w:gridCol w:w="1696"/>
        <w:gridCol w:w="1559"/>
        <w:gridCol w:w="1246"/>
        <w:gridCol w:w="3432"/>
        <w:gridCol w:w="1276"/>
      </w:tblGrid>
      <w:tr w:rsidR="00C71F9C" w:rsidRPr="00B51B7C" w14:paraId="702EE296" w14:textId="77777777" w:rsidTr="00EE1C59">
        <w:trPr>
          <w:jc w:val="center"/>
        </w:trPr>
        <w:tc>
          <w:tcPr>
            <w:tcW w:w="1696" w:type="dxa"/>
            <w:vAlign w:val="center"/>
          </w:tcPr>
          <w:p w14:paraId="156D8EB1"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客户名称</w:t>
            </w:r>
          </w:p>
        </w:tc>
        <w:tc>
          <w:tcPr>
            <w:tcW w:w="1559" w:type="dxa"/>
            <w:vAlign w:val="center"/>
          </w:tcPr>
          <w:p w14:paraId="2707EC1A"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收入金额</w:t>
            </w:r>
          </w:p>
        </w:tc>
        <w:tc>
          <w:tcPr>
            <w:tcW w:w="1246" w:type="dxa"/>
            <w:vAlign w:val="center"/>
          </w:tcPr>
          <w:p w14:paraId="75F96614"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合作年限</w:t>
            </w:r>
          </w:p>
        </w:tc>
        <w:tc>
          <w:tcPr>
            <w:tcW w:w="3432" w:type="dxa"/>
            <w:vAlign w:val="center"/>
          </w:tcPr>
          <w:p w14:paraId="7BCDF5CA"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销售产品</w:t>
            </w:r>
          </w:p>
        </w:tc>
        <w:tc>
          <w:tcPr>
            <w:tcW w:w="1276" w:type="dxa"/>
            <w:vAlign w:val="center"/>
          </w:tcPr>
          <w:p w14:paraId="275B2F36" w14:textId="77777777" w:rsidR="00C71F9C" w:rsidRPr="00B51B7C" w:rsidRDefault="00C71F9C" w:rsidP="00EE1C59">
            <w:pPr>
              <w:jc w:val="center"/>
              <w:rPr>
                <w:rFonts w:asciiTheme="minorEastAsia" w:hAnsiTheme="minorEastAsia"/>
                <w:szCs w:val="21"/>
              </w:rPr>
            </w:pPr>
            <w:r w:rsidRPr="00B51B7C">
              <w:rPr>
                <w:rFonts w:asciiTheme="minorEastAsia" w:hAnsiTheme="minorEastAsia" w:cs="宋体" w:hint="eastAsia"/>
                <w:b/>
                <w:kern w:val="0"/>
                <w:szCs w:val="21"/>
                <w:lang w:bidi="ar"/>
              </w:rPr>
              <w:t>收入占比</w:t>
            </w:r>
          </w:p>
        </w:tc>
      </w:tr>
      <w:tr w:rsidR="00C71F9C" w:rsidRPr="00B51B7C" w14:paraId="1D70F099" w14:textId="77777777" w:rsidTr="00EE1C59">
        <w:trPr>
          <w:jc w:val="center"/>
        </w:trPr>
        <w:tc>
          <w:tcPr>
            <w:tcW w:w="1696" w:type="dxa"/>
            <w:vAlign w:val="bottom"/>
          </w:tcPr>
          <w:p w14:paraId="51B788A1"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客户三十五</w:t>
            </w:r>
          </w:p>
        </w:tc>
        <w:tc>
          <w:tcPr>
            <w:tcW w:w="1559" w:type="dxa"/>
            <w:vAlign w:val="center"/>
          </w:tcPr>
          <w:p w14:paraId="09017750"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117,063.11</w:t>
            </w:r>
          </w:p>
        </w:tc>
        <w:tc>
          <w:tcPr>
            <w:tcW w:w="1246" w:type="dxa"/>
            <w:vAlign w:val="center"/>
          </w:tcPr>
          <w:p w14:paraId="184ADDFB"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20年以上</w:t>
            </w:r>
          </w:p>
        </w:tc>
        <w:tc>
          <w:tcPr>
            <w:tcW w:w="3432" w:type="dxa"/>
            <w:vAlign w:val="center"/>
          </w:tcPr>
          <w:p w14:paraId="0B329637"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电线电缆</w:t>
            </w:r>
          </w:p>
        </w:tc>
        <w:tc>
          <w:tcPr>
            <w:tcW w:w="1276" w:type="dxa"/>
            <w:vAlign w:val="center"/>
          </w:tcPr>
          <w:p w14:paraId="2EB98004"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14.34%</w:t>
            </w:r>
          </w:p>
        </w:tc>
      </w:tr>
      <w:tr w:rsidR="00C71F9C" w:rsidRPr="00B51B7C" w14:paraId="2C93B503" w14:textId="77777777" w:rsidTr="00EE1C59">
        <w:trPr>
          <w:jc w:val="center"/>
        </w:trPr>
        <w:tc>
          <w:tcPr>
            <w:tcW w:w="1696" w:type="dxa"/>
            <w:vAlign w:val="bottom"/>
          </w:tcPr>
          <w:p w14:paraId="10CADA94"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客户三十六</w:t>
            </w:r>
          </w:p>
        </w:tc>
        <w:tc>
          <w:tcPr>
            <w:tcW w:w="1559" w:type="dxa"/>
            <w:vAlign w:val="center"/>
          </w:tcPr>
          <w:p w14:paraId="51300DB2"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57,784.43</w:t>
            </w:r>
          </w:p>
        </w:tc>
        <w:tc>
          <w:tcPr>
            <w:tcW w:w="1246" w:type="dxa"/>
            <w:vAlign w:val="center"/>
          </w:tcPr>
          <w:p w14:paraId="3B8A4CC4"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2年</w:t>
            </w:r>
          </w:p>
        </w:tc>
        <w:tc>
          <w:tcPr>
            <w:tcW w:w="3432" w:type="dxa"/>
            <w:vAlign w:val="center"/>
          </w:tcPr>
          <w:p w14:paraId="43AFD2A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76" w:type="dxa"/>
            <w:vAlign w:val="center"/>
          </w:tcPr>
          <w:p w14:paraId="4B30DCCE"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7.08%</w:t>
            </w:r>
          </w:p>
        </w:tc>
      </w:tr>
      <w:tr w:rsidR="00C71F9C" w:rsidRPr="00B51B7C" w14:paraId="12242299" w14:textId="77777777" w:rsidTr="00EE1C59">
        <w:trPr>
          <w:jc w:val="center"/>
        </w:trPr>
        <w:tc>
          <w:tcPr>
            <w:tcW w:w="1696" w:type="dxa"/>
            <w:vAlign w:val="bottom"/>
          </w:tcPr>
          <w:p w14:paraId="3993F654"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客户三十七</w:t>
            </w:r>
          </w:p>
        </w:tc>
        <w:tc>
          <w:tcPr>
            <w:tcW w:w="1559" w:type="dxa"/>
            <w:vAlign w:val="center"/>
          </w:tcPr>
          <w:p w14:paraId="7C5DBDDE"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22,933.34</w:t>
            </w:r>
          </w:p>
        </w:tc>
        <w:tc>
          <w:tcPr>
            <w:tcW w:w="1246" w:type="dxa"/>
            <w:vAlign w:val="center"/>
          </w:tcPr>
          <w:p w14:paraId="3349E72F"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2年</w:t>
            </w:r>
          </w:p>
        </w:tc>
        <w:tc>
          <w:tcPr>
            <w:tcW w:w="3432" w:type="dxa"/>
            <w:vAlign w:val="center"/>
          </w:tcPr>
          <w:p w14:paraId="3536C187"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76" w:type="dxa"/>
            <w:vAlign w:val="center"/>
          </w:tcPr>
          <w:p w14:paraId="10AB2E8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2.81%</w:t>
            </w:r>
          </w:p>
        </w:tc>
      </w:tr>
      <w:tr w:rsidR="00C71F9C" w:rsidRPr="00B51B7C" w14:paraId="7D9E9D67" w14:textId="77777777" w:rsidTr="00EE1C59">
        <w:trPr>
          <w:jc w:val="center"/>
        </w:trPr>
        <w:tc>
          <w:tcPr>
            <w:tcW w:w="1696" w:type="dxa"/>
            <w:vAlign w:val="bottom"/>
          </w:tcPr>
          <w:p w14:paraId="0F4FF43E"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客户三十八</w:t>
            </w:r>
          </w:p>
        </w:tc>
        <w:tc>
          <w:tcPr>
            <w:tcW w:w="1559" w:type="dxa"/>
            <w:vAlign w:val="center"/>
          </w:tcPr>
          <w:p w14:paraId="0959ABE5"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20,188.49</w:t>
            </w:r>
          </w:p>
        </w:tc>
        <w:tc>
          <w:tcPr>
            <w:tcW w:w="1246" w:type="dxa"/>
            <w:vAlign w:val="center"/>
          </w:tcPr>
          <w:p w14:paraId="50241A9A"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2年</w:t>
            </w:r>
          </w:p>
        </w:tc>
        <w:tc>
          <w:tcPr>
            <w:tcW w:w="3432" w:type="dxa"/>
            <w:vAlign w:val="center"/>
          </w:tcPr>
          <w:p w14:paraId="141D5872"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76" w:type="dxa"/>
            <w:vAlign w:val="center"/>
          </w:tcPr>
          <w:p w14:paraId="44D6C05E"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2.47%</w:t>
            </w:r>
          </w:p>
        </w:tc>
      </w:tr>
      <w:tr w:rsidR="00C71F9C" w:rsidRPr="00B51B7C" w14:paraId="3AEB3042" w14:textId="77777777" w:rsidTr="00EE1C59">
        <w:trPr>
          <w:jc w:val="center"/>
        </w:trPr>
        <w:tc>
          <w:tcPr>
            <w:tcW w:w="1696" w:type="dxa"/>
            <w:vAlign w:val="bottom"/>
          </w:tcPr>
          <w:p w14:paraId="49096EA8"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客户三十九</w:t>
            </w:r>
          </w:p>
        </w:tc>
        <w:tc>
          <w:tcPr>
            <w:tcW w:w="1559" w:type="dxa"/>
            <w:vAlign w:val="center"/>
          </w:tcPr>
          <w:p w14:paraId="09E6EECA"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19,428.56</w:t>
            </w:r>
          </w:p>
        </w:tc>
        <w:tc>
          <w:tcPr>
            <w:tcW w:w="1246" w:type="dxa"/>
            <w:vAlign w:val="center"/>
          </w:tcPr>
          <w:p w14:paraId="7B6360FE"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4年</w:t>
            </w:r>
          </w:p>
        </w:tc>
        <w:tc>
          <w:tcPr>
            <w:tcW w:w="3432" w:type="dxa"/>
            <w:vAlign w:val="center"/>
          </w:tcPr>
          <w:p w14:paraId="2E8CF78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76" w:type="dxa"/>
            <w:vAlign w:val="center"/>
          </w:tcPr>
          <w:p w14:paraId="71007DE8"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2.38%</w:t>
            </w:r>
          </w:p>
        </w:tc>
      </w:tr>
      <w:tr w:rsidR="00C71F9C" w:rsidRPr="00B51B7C" w14:paraId="43C95F38" w14:textId="77777777" w:rsidTr="00EE1C59">
        <w:trPr>
          <w:jc w:val="center"/>
        </w:trPr>
        <w:tc>
          <w:tcPr>
            <w:tcW w:w="1696" w:type="dxa"/>
            <w:vAlign w:val="bottom"/>
          </w:tcPr>
          <w:p w14:paraId="6BA71AEE"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客户四十</w:t>
            </w:r>
          </w:p>
        </w:tc>
        <w:tc>
          <w:tcPr>
            <w:tcW w:w="1559" w:type="dxa"/>
            <w:vAlign w:val="center"/>
          </w:tcPr>
          <w:p w14:paraId="04C11D31"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18,021.92</w:t>
            </w:r>
          </w:p>
        </w:tc>
        <w:tc>
          <w:tcPr>
            <w:tcW w:w="1246" w:type="dxa"/>
            <w:vAlign w:val="center"/>
          </w:tcPr>
          <w:p w14:paraId="7F8996AC"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20年以上</w:t>
            </w:r>
          </w:p>
        </w:tc>
        <w:tc>
          <w:tcPr>
            <w:tcW w:w="3432" w:type="dxa"/>
            <w:vAlign w:val="center"/>
          </w:tcPr>
          <w:p w14:paraId="5C663553"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电线电缆</w:t>
            </w:r>
          </w:p>
        </w:tc>
        <w:tc>
          <w:tcPr>
            <w:tcW w:w="1276" w:type="dxa"/>
            <w:vAlign w:val="center"/>
          </w:tcPr>
          <w:p w14:paraId="5818A045"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2.21%</w:t>
            </w:r>
          </w:p>
        </w:tc>
      </w:tr>
      <w:tr w:rsidR="00C71F9C" w:rsidRPr="00B51B7C" w14:paraId="19418C26" w14:textId="77777777" w:rsidTr="00EE1C59">
        <w:trPr>
          <w:jc w:val="center"/>
        </w:trPr>
        <w:tc>
          <w:tcPr>
            <w:tcW w:w="1696" w:type="dxa"/>
            <w:vAlign w:val="bottom"/>
          </w:tcPr>
          <w:p w14:paraId="1F56AD41"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客户四十一</w:t>
            </w:r>
          </w:p>
        </w:tc>
        <w:tc>
          <w:tcPr>
            <w:tcW w:w="1559" w:type="dxa"/>
            <w:vAlign w:val="center"/>
          </w:tcPr>
          <w:p w14:paraId="5B415C25"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15,836.29</w:t>
            </w:r>
          </w:p>
        </w:tc>
        <w:tc>
          <w:tcPr>
            <w:tcW w:w="1246" w:type="dxa"/>
            <w:vAlign w:val="center"/>
          </w:tcPr>
          <w:p w14:paraId="7578E6DB"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2年</w:t>
            </w:r>
          </w:p>
        </w:tc>
        <w:tc>
          <w:tcPr>
            <w:tcW w:w="3432" w:type="dxa"/>
            <w:vAlign w:val="center"/>
          </w:tcPr>
          <w:p w14:paraId="3A3D639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76" w:type="dxa"/>
            <w:vAlign w:val="center"/>
          </w:tcPr>
          <w:p w14:paraId="60222710"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1.94%</w:t>
            </w:r>
          </w:p>
        </w:tc>
      </w:tr>
      <w:tr w:rsidR="00C71F9C" w:rsidRPr="00B51B7C" w14:paraId="6E5083F9" w14:textId="77777777" w:rsidTr="00EE1C59">
        <w:trPr>
          <w:jc w:val="center"/>
        </w:trPr>
        <w:tc>
          <w:tcPr>
            <w:tcW w:w="1696" w:type="dxa"/>
            <w:vAlign w:val="bottom"/>
          </w:tcPr>
          <w:p w14:paraId="02AA4089"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客户二十五</w:t>
            </w:r>
          </w:p>
        </w:tc>
        <w:tc>
          <w:tcPr>
            <w:tcW w:w="1559" w:type="dxa"/>
            <w:vAlign w:val="center"/>
          </w:tcPr>
          <w:p w14:paraId="587A7A1F"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11,480.38</w:t>
            </w:r>
          </w:p>
        </w:tc>
        <w:tc>
          <w:tcPr>
            <w:tcW w:w="1246" w:type="dxa"/>
            <w:vAlign w:val="center"/>
          </w:tcPr>
          <w:p w14:paraId="6DABD380"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14年</w:t>
            </w:r>
          </w:p>
        </w:tc>
        <w:tc>
          <w:tcPr>
            <w:tcW w:w="3432" w:type="dxa"/>
            <w:vAlign w:val="center"/>
          </w:tcPr>
          <w:p w14:paraId="73DDB6FB"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电缆料</w:t>
            </w:r>
          </w:p>
        </w:tc>
        <w:tc>
          <w:tcPr>
            <w:tcW w:w="1276" w:type="dxa"/>
            <w:vAlign w:val="center"/>
          </w:tcPr>
          <w:p w14:paraId="1BC1A12A"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1.41%</w:t>
            </w:r>
          </w:p>
        </w:tc>
      </w:tr>
      <w:tr w:rsidR="00C71F9C" w:rsidRPr="00B51B7C" w14:paraId="51CE6E98" w14:textId="77777777" w:rsidTr="00EE1C59">
        <w:trPr>
          <w:jc w:val="center"/>
        </w:trPr>
        <w:tc>
          <w:tcPr>
            <w:tcW w:w="1696" w:type="dxa"/>
            <w:vAlign w:val="bottom"/>
          </w:tcPr>
          <w:p w14:paraId="21E3DEBF"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客户四十二</w:t>
            </w:r>
          </w:p>
        </w:tc>
        <w:tc>
          <w:tcPr>
            <w:tcW w:w="1559" w:type="dxa"/>
            <w:vAlign w:val="center"/>
          </w:tcPr>
          <w:p w14:paraId="3DE4FF75"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7,648.93</w:t>
            </w:r>
          </w:p>
        </w:tc>
        <w:tc>
          <w:tcPr>
            <w:tcW w:w="1246" w:type="dxa"/>
            <w:vAlign w:val="center"/>
          </w:tcPr>
          <w:p w14:paraId="1528FC94"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11年</w:t>
            </w:r>
          </w:p>
        </w:tc>
        <w:tc>
          <w:tcPr>
            <w:tcW w:w="3432" w:type="dxa"/>
            <w:vAlign w:val="center"/>
          </w:tcPr>
          <w:p w14:paraId="606E81C5"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电线电缆</w:t>
            </w:r>
          </w:p>
        </w:tc>
        <w:tc>
          <w:tcPr>
            <w:tcW w:w="1276" w:type="dxa"/>
            <w:vAlign w:val="center"/>
          </w:tcPr>
          <w:p w14:paraId="0A7551C3"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0.94%</w:t>
            </w:r>
          </w:p>
        </w:tc>
      </w:tr>
      <w:tr w:rsidR="00C71F9C" w:rsidRPr="00B51B7C" w14:paraId="4138771D" w14:textId="77777777" w:rsidTr="00EE1C59">
        <w:trPr>
          <w:jc w:val="center"/>
        </w:trPr>
        <w:tc>
          <w:tcPr>
            <w:tcW w:w="1696" w:type="dxa"/>
            <w:vAlign w:val="bottom"/>
          </w:tcPr>
          <w:p w14:paraId="7775A55E"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color w:val="000000"/>
                <w:sz w:val="22"/>
              </w:rPr>
              <w:t>客户四十三</w:t>
            </w:r>
          </w:p>
        </w:tc>
        <w:tc>
          <w:tcPr>
            <w:tcW w:w="1559" w:type="dxa"/>
            <w:vAlign w:val="center"/>
          </w:tcPr>
          <w:p w14:paraId="7755F36B"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 xml:space="preserve">    7,597.70 </w:t>
            </w:r>
          </w:p>
        </w:tc>
        <w:tc>
          <w:tcPr>
            <w:tcW w:w="1246" w:type="dxa"/>
            <w:vAlign w:val="center"/>
          </w:tcPr>
          <w:p w14:paraId="37683BD8"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3年</w:t>
            </w:r>
          </w:p>
        </w:tc>
        <w:tc>
          <w:tcPr>
            <w:tcW w:w="3432" w:type="dxa"/>
            <w:vAlign w:val="center"/>
          </w:tcPr>
          <w:p w14:paraId="34CC9D91"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szCs w:val="21"/>
              </w:rPr>
              <w:t>电池片及组件</w:t>
            </w:r>
          </w:p>
        </w:tc>
        <w:tc>
          <w:tcPr>
            <w:tcW w:w="1276" w:type="dxa"/>
            <w:vAlign w:val="center"/>
          </w:tcPr>
          <w:p w14:paraId="28C5A42F" w14:textId="77777777" w:rsidR="00C71F9C" w:rsidRPr="00B51B7C" w:rsidRDefault="00C71F9C" w:rsidP="00EE1C59">
            <w:pPr>
              <w:jc w:val="right"/>
              <w:rPr>
                <w:rFonts w:asciiTheme="minorEastAsia" w:hAnsiTheme="minorEastAsia"/>
                <w:szCs w:val="21"/>
              </w:rPr>
            </w:pPr>
            <w:r w:rsidRPr="00B51B7C">
              <w:rPr>
                <w:rFonts w:asciiTheme="minorEastAsia" w:hAnsiTheme="minorEastAsia" w:hint="eastAsia"/>
                <w:szCs w:val="21"/>
              </w:rPr>
              <w:t>0.93%</w:t>
            </w:r>
          </w:p>
        </w:tc>
      </w:tr>
      <w:tr w:rsidR="00C71F9C" w:rsidRPr="00B51B7C" w14:paraId="2C34F38B" w14:textId="77777777" w:rsidTr="00EE1C59">
        <w:trPr>
          <w:jc w:val="center"/>
        </w:trPr>
        <w:tc>
          <w:tcPr>
            <w:tcW w:w="1696" w:type="dxa"/>
            <w:vAlign w:val="center"/>
          </w:tcPr>
          <w:p w14:paraId="2E3E7DC9"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b/>
                <w:szCs w:val="21"/>
              </w:rPr>
              <w:t>合计</w:t>
            </w:r>
          </w:p>
        </w:tc>
        <w:tc>
          <w:tcPr>
            <w:tcW w:w="1559" w:type="dxa"/>
            <w:vAlign w:val="center"/>
          </w:tcPr>
          <w:p w14:paraId="2E6C513A" w14:textId="77777777" w:rsidR="00C71F9C" w:rsidRPr="00B51B7C" w:rsidRDefault="00C71F9C" w:rsidP="00EE1C59">
            <w:pPr>
              <w:jc w:val="center"/>
              <w:rPr>
                <w:rFonts w:asciiTheme="minorEastAsia" w:hAnsiTheme="minorEastAsia"/>
                <w:szCs w:val="21"/>
              </w:rPr>
            </w:pPr>
            <w:r w:rsidRPr="00B51B7C">
              <w:rPr>
                <w:rFonts w:asciiTheme="minorEastAsia" w:hAnsiTheme="minorEastAsia" w:hint="eastAsia"/>
                <w:b/>
                <w:szCs w:val="21"/>
              </w:rPr>
              <w:fldChar w:fldCharType="begin"/>
            </w:r>
            <w:r w:rsidRPr="00B51B7C">
              <w:rPr>
                <w:rFonts w:asciiTheme="minorEastAsia" w:hAnsiTheme="minorEastAsia" w:hint="eastAsia"/>
                <w:b/>
                <w:szCs w:val="21"/>
              </w:rPr>
              <w:instrText xml:space="preserve"> =SUM(ABOVE) </w:instrText>
            </w:r>
            <w:r w:rsidRPr="00B51B7C">
              <w:rPr>
                <w:rFonts w:asciiTheme="minorEastAsia" w:hAnsiTheme="minorEastAsia" w:hint="eastAsia"/>
                <w:b/>
                <w:szCs w:val="21"/>
              </w:rPr>
              <w:fldChar w:fldCharType="separate"/>
            </w:r>
            <w:r w:rsidRPr="00B51B7C">
              <w:rPr>
                <w:rFonts w:asciiTheme="minorEastAsia" w:hAnsiTheme="minorEastAsia" w:hint="eastAsia"/>
                <w:b/>
                <w:noProof/>
                <w:szCs w:val="21"/>
              </w:rPr>
              <w:t>297,983.15</w:t>
            </w:r>
            <w:r w:rsidRPr="00B51B7C">
              <w:rPr>
                <w:rFonts w:asciiTheme="minorEastAsia" w:hAnsiTheme="minorEastAsia" w:hint="eastAsia"/>
                <w:b/>
                <w:szCs w:val="21"/>
              </w:rPr>
              <w:fldChar w:fldCharType="end"/>
            </w:r>
          </w:p>
        </w:tc>
        <w:tc>
          <w:tcPr>
            <w:tcW w:w="1246" w:type="dxa"/>
            <w:vAlign w:val="center"/>
          </w:tcPr>
          <w:p w14:paraId="0C74E34F" w14:textId="77777777" w:rsidR="00C71F9C" w:rsidRPr="00B51B7C" w:rsidRDefault="00C71F9C" w:rsidP="00EE1C59">
            <w:pPr>
              <w:jc w:val="center"/>
              <w:rPr>
                <w:rFonts w:asciiTheme="minorEastAsia" w:hAnsiTheme="minorEastAsia"/>
                <w:szCs w:val="21"/>
              </w:rPr>
            </w:pPr>
          </w:p>
        </w:tc>
        <w:tc>
          <w:tcPr>
            <w:tcW w:w="3432" w:type="dxa"/>
            <w:vAlign w:val="center"/>
          </w:tcPr>
          <w:p w14:paraId="7B40FAE1" w14:textId="77777777" w:rsidR="00C71F9C" w:rsidRPr="00B51B7C" w:rsidRDefault="00C71F9C" w:rsidP="00EE1C59">
            <w:pPr>
              <w:jc w:val="center"/>
              <w:rPr>
                <w:rFonts w:asciiTheme="minorEastAsia" w:hAnsiTheme="minorEastAsia"/>
                <w:szCs w:val="21"/>
              </w:rPr>
            </w:pPr>
          </w:p>
        </w:tc>
        <w:tc>
          <w:tcPr>
            <w:tcW w:w="1276" w:type="dxa"/>
            <w:vAlign w:val="center"/>
          </w:tcPr>
          <w:p w14:paraId="06E577E3" w14:textId="77777777" w:rsidR="00C71F9C" w:rsidRPr="00B51B7C" w:rsidRDefault="00C71F9C" w:rsidP="00EE1C59">
            <w:pPr>
              <w:jc w:val="center"/>
              <w:rPr>
                <w:rFonts w:asciiTheme="minorEastAsia" w:hAnsiTheme="minorEastAsia"/>
                <w:b/>
                <w:bCs/>
                <w:szCs w:val="21"/>
              </w:rPr>
            </w:pPr>
            <w:r w:rsidRPr="00B51B7C">
              <w:rPr>
                <w:rFonts w:asciiTheme="minorEastAsia" w:hAnsiTheme="minorEastAsia" w:hint="eastAsia"/>
                <w:b/>
                <w:bCs/>
                <w:szCs w:val="21"/>
              </w:rPr>
              <w:fldChar w:fldCharType="begin"/>
            </w:r>
            <w:r w:rsidRPr="00B51B7C">
              <w:rPr>
                <w:rFonts w:asciiTheme="minorEastAsia" w:hAnsiTheme="minorEastAsia" w:hint="eastAsia"/>
                <w:b/>
                <w:bCs/>
                <w:szCs w:val="21"/>
              </w:rPr>
              <w:instrText xml:space="preserve"> =SUM(ABOVE)*100 \# "0.00%" </w:instrText>
            </w:r>
            <w:r w:rsidRPr="00B51B7C">
              <w:rPr>
                <w:rFonts w:asciiTheme="minorEastAsia" w:hAnsiTheme="minorEastAsia" w:hint="eastAsia"/>
                <w:b/>
                <w:bCs/>
                <w:szCs w:val="21"/>
              </w:rPr>
              <w:fldChar w:fldCharType="separate"/>
            </w:r>
            <w:r w:rsidRPr="00B51B7C">
              <w:rPr>
                <w:rFonts w:asciiTheme="minorEastAsia" w:hAnsiTheme="minorEastAsia" w:hint="eastAsia"/>
                <w:b/>
                <w:bCs/>
                <w:noProof/>
                <w:szCs w:val="21"/>
              </w:rPr>
              <w:t>36.51%</w:t>
            </w:r>
            <w:r w:rsidRPr="00B51B7C">
              <w:rPr>
                <w:rFonts w:asciiTheme="minorEastAsia" w:hAnsiTheme="minorEastAsia" w:hint="eastAsia"/>
                <w:b/>
                <w:bCs/>
                <w:szCs w:val="21"/>
              </w:rPr>
              <w:fldChar w:fldCharType="end"/>
            </w:r>
          </w:p>
        </w:tc>
      </w:tr>
    </w:tbl>
    <w:p w14:paraId="066FD831" w14:textId="77777777" w:rsidR="00C71F9C" w:rsidRPr="00B51B7C" w:rsidRDefault="00C71F9C" w:rsidP="00C71F9C">
      <w:pPr>
        <w:spacing w:beforeLines="50" w:before="156" w:line="360" w:lineRule="auto"/>
        <w:ind w:firstLineChars="200" w:firstLine="480"/>
        <w:rPr>
          <w:rFonts w:asciiTheme="minorEastAsia" w:hAnsiTheme="minorEastAsia" w:cs="宋体"/>
          <w:kern w:val="0"/>
          <w:sz w:val="24"/>
        </w:rPr>
      </w:pPr>
      <w:r w:rsidRPr="00B51B7C">
        <w:rPr>
          <w:rFonts w:asciiTheme="minorEastAsia" w:hAnsiTheme="minorEastAsia"/>
          <w:kern w:val="0"/>
          <w:sz w:val="24"/>
        </w:rPr>
        <w:t>经核查，</w:t>
      </w:r>
      <w:r w:rsidRPr="00B51B7C">
        <w:rPr>
          <w:rFonts w:asciiTheme="minorEastAsia" w:hAnsiTheme="minorEastAsia" w:cs="宋体" w:hint="eastAsia"/>
          <w:kern w:val="0"/>
          <w:sz w:val="24"/>
        </w:rPr>
        <w:t>公司的特种线缆业务主要研发、生产及销售通信电源用阻燃耐火软电缆，舰船用电缆、高铁用电缆、光伏</w:t>
      </w:r>
      <w:r w:rsidRPr="00B51B7C">
        <w:rPr>
          <w:rFonts w:asciiTheme="minorEastAsia" w:hAnsiTheme="minorEastAsia" w:cs="宋体"/>
          <w:kern w:val="0"/>
          <w:sz w:val="24"/>
        </w:rPr>
        <w:t>/</w:t>
      </w:r>
      <w:r w:rsidRPr="00B51B7C">
        <w:rPr>
          <w:rFonts w:asciiTheme="minorEastAsia" w:hAnsiTheme="minorEastAsia" w:cs="宋体" w:hint="eastAsia"/>
          <w:kern w:val="0"/>
          <w:sz w:val="24"/>
        </w:rPr>
        <w:t>风电新能源线缆、电力储能系统用电池连接电缆、</w:t>
      </w:r>
      <w:r w:rsidRPr="00B51B7C">
        <w:rPr>
          <w:rFonts w:asciiTheme="minorEastAsia" w:hAnsiTheme="minorEastAsia" w:cs="宋体"/>
          <w:kern w:val="0"/>
          <w:sz w:val="24"/>
        </w:rPr>
        <w:t>UL</w:t>
      </w:r>
      <w:r w:rsidRPr="00B51B7C">
        <w:rPr>
          <w:rFonts w:asciiTheme="minorEastAsia" w:hAnsiTheme="minorEastAsia" w:cs="宋体" w:hint="eastAsia"/>
          <w:kern w:val="0"/>
          <w:sz w:val="24"/>
        </w:rPr>
        <w:t>电子线缆、数据线缆、液冷电缆等产品。</w:t>
      </w:r>
      <w:r w:rsidRPr="00B51B7C">
        <w:rPr>
          <w:rFonts w:asciiTheme="minorEastAsia" w:hAnsiTheme="minorEastAsia"/>
          <w:kern w:val="0"/>
          <w:sz w:val="24"/>
        </w:rPr>
        <w:t>公司2022年10月将从事通信电缆业务的重要子公司广东中德电缆有限公司股权进行转让，</w:t>
      </w:r>
      <w:r w:rsidRPr="00B51B7C">
        <w:rPr>
          <w:rFonts w:asciiTheme="minorEastAsia" w:hAnsiTheme="minorEastAsia" w:hint="eastAsia"/>
          <w:kern w:val="0"/>
          <w:sz w:val="24"/>
        </w:rPr>
        <w:t>导致客户三十五及客户四十自2023年起不再为公司主要客户。</w:t>
      </w:r>
      <w:r w:rsidRPr="00B51B7C">
        <w:rPr>
          <w:rFonts w:asciiTheme="minorEastAsia" w:hAnsiTheme="minorEastAsia"/>
          <w:kern w:val="0"/>
          <w:sz w:val="24"/>
        </w:rPr>
        <w:t>除</w:t>
      </w:r>
      <w:r w:rsidRPr="00B51B7C">
        <w:rPr>
          <w:rFonts w:asciiTheme="minorEastAsia" w:hAnsiTheme="minorEastAsia" w:hint="eastAsia"/>
          <w:kern w:val="0"/>
          <w:sz w:val="24"/>
        </w:rPr>
        <w:t>此之外，</w:t>
      </w:r>
      <w:r w:rsidRPr="00B51B7C">
        <w:rPr>
          <w:rFonts w:asciiTheme="minorEastAsia" w:hAnsiTheme="minorEastAsia"/>
          <w:kern w:val="0"/>
          <w:sz w:val="24"/>
        </w:rPr>
        <w:t>线缆业务</w:t>
      </w:r>
      <w:r w:rsidRPr="00B51B7C">
        <w:rPr>
          <w:rFonts w:asciiTheme="minorEastAsia" w:hAnsiTheme="minorEastAsia" w:hint="eastAsia"/>
          <w:kern w:val="0"/>
          <w:sz w:val="24"/>
        </w:rPr>
        <w:t>的</w:t>
      </w:r>
      <w:r w:rsidRPr="00B51B7C">
        <w:rPr>
          <w:rFonts w:asciiTheme="minorEastAsia" w:hAnsiTheme="minorEastAsia"/>
          <w:kern w:val="0"/>
          <w:sz w:val="24"/>
        </w:rPr>
        <w:t>客户群体</w:t>
      </w:r>
      <w:r w:rsidRPr="00B51B7C">
        <w:rPr>
          <w:rFonts w:asciiTheme="minorEastAsia" w:hAnsiTheme="minorEastAsia" w:hint="eastAsia"/>
          <w:kern w:val="0"/>
          <w:sz w:val="24"/>
        </w:rPr>
        <w:t>均</w:t>
      </w:r>
      <w:r w:rsidRPr="00B51B7C">
        <w:rPr>
          <w:rFonts w:asciiTheme="minorEastAsia" w:hAnsiTheme="minorEastAsia"/>
          <w:kern w:val="0"/>
          <w:sz w:val="24"/>
        </w:rPr>
        <w:t>未发生重大变化</w:t>
      </w:r>
      <w:r w:rsidRPr="00B51B7C">
        <w:rPr>
          <w:rFonts w:asciiTheme="minorEastAsia" w:hAnsiTheme="minorEastAsia" w:hint="eastAsia"/>
          <w:kern w:val="0"/>
          <w:sz w:val="24"/>
        </w:rPr>
        <w:t>。</w:t>
      </w:r>
    </w:p>
    <w:p w14:paraId="0BC5883A" w14:textId="77777777" w:rsidR="00C71F9C" w:rsidRPr="00B51B7C" w:rsidRDefault="00C71F9C" w:rsidP="00C71F9C">
      <w:pPr>
        <w:spacing w:line="360" w:lineRule="auto"/>
        <w:ind w:firstLineChars="200" w:firstLine="480"/>
        <w:rPr>
          <w:rFonts w:asciiTheme="minorEastAsia" w:hAnsiTheme="minorEastAsia"/>
          <w:kern w:val="0"/>
          <w:sz w:val="24"/>
        </w:rPr>
      </w:pPr>
      <w:r w:rsidRPr="00B51B7C">
        <w:rPr>
          <w:rFonts w:asciiTheme="minorEastAsia" w:hAnsiTheme="minorEastAsia" w:hint="eastAsia"/>
          <w:kern w:val="0"/>
          <w:sz w:val="24"/>
        </w:rPr>
        <w:t>光伏板块：</w:t>
      </w:r>
      <w:proofErr w:type="gramStart"/>
      <w:r w:rsidRPr="00B51B7C">
        <w:rPr>
          <w:rFonts w:asciiTheme="minorEastAsia" w:hAnsiTheme="minorEastAsia" w:hint="eastAsia"/>
          <w:kern w:val="0"/>
          <w:sz w:val="24"/>
        </w:rPr>
        <w:t>腾晖光伏主要</w:t>
      </w:r>
      <w:proofErr w:type="gramEnd"/>
      <w:r w:rsidRPr="00B51B7C">
        <w:rPr>
          <w:rFonts w:asciiTheme="minorEastAsia" w:hAnsiTheme="minorEastAsia" w:hint="eastAsia"/>
          <w:kern w:val="0"/>
          <w:sz w:val="24"/>
        </w:rPr>
        <w:t>致力于电池片、组件研发、生产及销售，并协同光伏电站开发建设及运维。以自主电池片及组件制造为核心业务，以代工电池片及</w:t>
      </w:r>
      <w:r w:rsidRPr="00B51B7C">
        <w:rPr>
          <w:rFonts w:asciiTheme="minorEastAsia" w:hAnsiTheme="minorEastAsia" w:hint="eastAsia"/>
          <w:kern w:val="0"/>
          <w:sz w:val="24"/>
        </w:rPr>
        <w:lastRenderedPageBreak/>
        <w:t>组件生产作为产能补充。受</w:t>
      </w:r>
      <w:r w:rsidRPr="00B51B7C">
        <w:rPr>
          <w:rFonts w:asciiTheme="minorEastAsia" w:hAnsiTheme="minorEastAsia" w:hint="eastAsia"/>
          <w:sz w:val="24"/>
        </w:rPr>
        <w:t>大环境影响及自身经营资金紧张，</w:t>
      </w:r>
      <w:proofErr w:type="gramStart"/>
      <w:r w:rsidRPr="00B51B7C">
        <w:rPr>
          <w:rFonts w:asciiTheme="minorEastAsia" w:hAnsiTheme="minorEastAsia" w:hint="eastAsia"/>
          <w:sz w:val="24"/>
        </w:rPr>
        <w:t>腾晖光</w:t>
      </w:r>
      <w:proofErr w:type="gramEnd"/>
      <w:r w:rsidRPr="00B51B7C">
        <w:rPr>
          <w:rFonts w:asciiTheme="minorEastAsia" w:hAnsiTheme="minorEastAsia" w:hint="eastAsia"/>
          <w:sz w:val="24"/>
        </w:rPr>
        <w:t>伏在自主生产业务和委托加工业务的基础上增加了受托加工业务，从而导致近三年的主要客户群体有所变化。</w:t>
      </w:r>
    </w:p>
    <w:p w14:paraId="2038A419" w14:textId="77777777" w:rsidR="00796C84" w:rsidRPr="00B51B7C" w:rsidRDefault="00796C84" w:rsidP="003F5258">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（2）核查并说明上述客户是否与你公司、公司董事、监事、高级管理人员、5%以上股东、实际控制人等存在关联关系或可能造成利益倾斜的其他关系。</w:t>
      </w:r>
    </w:p>
    <w:p w14:paraId="1D626388" w14:textId="637785BC" w:rsidR="00C015B8" w:rsidRPr="00B51B7C" w:rsidRDefault="00C015B8" w:rsidP="00C015B8">
      <w:pPr>
        <w:spacing w:line="360" w:lineRule="auto"/>
        <w:ind w:firstLineChars="200" w:firstLine="482"/>
        <w:rPr>
          <w:rFonts w:asciiTheme="minorEastAsia" w:hAnsiTheme="minorEastAsia"/>
          <w:b/>
          <w:bCs/>
          <w:sz w:val="24"/>
        </w:rPr>
      </w:pPr>
      <w:r w:rsidRPr="00B51B7C">
        <w:rPr>
          <w:rFonts w:asciiTheme="minorEastAsia" w:hAnsiTheme="minorEastAsia" w:hint="eastAsia"/>
          <w:b/>
          <w:bCs/>
          <w:sz w:val="24"/>
        </w:rPr>
        <w:t>公司回复：</w:t>
      </w:r>
    </w:p>
    <w:p w14:paraId="1C644973" w14:textId="77777777" w:rsidR="00993BFB" w:rsidRPr="00B51B7C" w:rsidRDefault="00993BFB" w:rsidP="00993BFB">
      <w:pPr>
        <w:spacing w:line="360" w:lineRule="auto"/>
        <w:ind w:firstLineChars="200" w:firstLine="480"/>
        <w:rPr>
          <w:rFonts w:asciiTheme="minorEastAsia" w:hAnsiTheme="minorEastAsia"/>
          <w:sz w:val="24"/>
        </w:rPr>
      </w:pPr>
      <w:r w:rsidRPr="00B51B7C">
        <w:rPr>
          <w:rFonts w:asciiTheme="minorEastAsia" w:hAnsiTheme="minorEastAsia" w:hint="eastAsia"/>
          <w:sz w:val="24"/>
        </w:rPr>
        <w:t>经公司自查，上述客户与公司、公司董事、监事、高级管理人员、5%以上股东、实际控制人等不存在关联关系或可能造成利益倾斜的其他关系。</w:t>
      </w:r>
    </w:p>
    <w:p w14:paraId="14F39F8B" w14:textId="77777777" w:rsidR="00E3091C" w:rsidRPr="00B51B7C" w:rsidRDefault="00796C84" w:rsidP="003F5258">
      <w:pPr>
        <w:keepNext/>
        <w:keepLines/>
        <w:spacing w:line="360" w:lineRule="auto"/>
        <w:ind w:firstLineChars="176" w:firstLine="424"/>
        <w:outlineLvl w:val="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（3）结合你公司与上述十名客户历史合作情况，说明是否存在客户、供应商重叠的情况，如是，请说明原因及合理性。</w:t>
      </w:r>
    </w:p>
    <w:p w14:paraId="20CEAC6C" w14:textId="60C4DDA2" w:rsidR="00C015B8" w:rsidRPr="00B51B7C" w:rsidRDefault="00C015B8" w:rsidP="003757F8">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公司回复：</w:t>
      </w:r>
    </w:p>
    <w:p w14:paraId="19047CDB" w14:textId="27296A3A" w:rsidR="00993BFB" w:rsidRPr="00B51B7C" w:rsidRDefault="00993BFB" w:rsidP="003757F8">
      <w:pPr>
        <w:spacing w:line="360" w:lineRule="auto"/>
        <w:ind w:firstLineChars="200" w:firstLine="480"/>
        <w:rPr>
          <w:rFonts w:asciiTheme="minorEastAsia" w:hAnsiTheme="minorEastAsia"/>
          <w:sz w:val="24"/>
        </w:rPr>
      </w:pPr>
      <w:r w:rsidRPr="00B51B7C">
        <w:rPr>
          <w:rFonts w:asciiTheme="minorEastAsia" w:hAnsiTheme="minorEastAsia" w:hint="eastAsia"/>
          <w:sz w:val="24"/>
        </w:rPr>
        <w:t>经公司自查，</w:t>
      </w:r>
      <w:r w:rsidR="00A92E00" w:rsidRPr="00B51B7C">
        <w:rPr>
          <w:rFonts w:asciiTheme="minorEastAsia" w:hAnsiTheme="minorEastAsia" w:hint="eastAsia"/>
          <w:sz w:val="24"/>
        </w:rPr>
        <w:t>报告期内的前</w:t>
      </w:r>
      <w:r w:rsidRPr="00B51B7C">
        <w:rPr>
          <w:rFonts w:asciiTheme="minorEastAsia" w:hAnsiTheme="minorEastAsia" w:hint="eastAsia"/>
          <w:sz w:val="24"/>
        </w:rPr>
        <w:t>十名客户与供应商不存在重叠的情况。</w:t>
      </w:r>
    </w:p>
    <w:p w14:paraId="5E3A96B0" w14:textId="77777777" w:rsidR="00417749" w:rsidRDefault="00417749" w:rsidP="003757F8">
      <w:pPr>
        <w:spacing w:line="360" w:lineRule="auto"/>
        <w:ind w:firstLineChars="200" w:firstLine="482"/>
        <w:rPr>
          <w:rFonts w:asciiTheme="minorEastAsia" w:hAnsiTheme="minorEastAsia" w:cs="Times"/>
          <w:b/>
          <w:bCs/>
          <w:kern w:val="0"/>
          <w:sz w:val="24"/>
          <w:szCs w:val="24"/>
        </w:rPr>
      </w:pPr>
    </w:p>
    <w:p w14:paraId="37FC0476" w14:textId="5CE1D1CD" w:rsidR="00796C84" w:rsidRPr="00B51B7C" w:rsidRDefault="00796C84" w:rsidP="003757F8">
      <w:pPr>
        <w:spacing w:line="360" w:lineRule="auto"/>
        <w:ind w:firstLineChars="200" w:firstLine="482"/>
        <w:rPr>
          <w:rFonts w:asciiTheme="minorEastAsia" w:hAnsiTheme="minorEastAsia" w:cs="Times"/>
          <w:b/>
          <w:bCs/>
          <w:kern w:val="0"/>
          <w:sz w:val="24"/>
          <w:szCs w:val="24"/>
        </w:rPr>
      </w:pPr>
      <w:bookmarkStart w:id="7" w:name="_GoBack"/>
      <w:bookmarkEnd w:id="7"/>
      <w:r w:rsidRPr="00B51B7C">
        <w:rPr>
          <w:rFonts w:asciiTheme="minorEastAsia" w:hAnsiTheme="minorEastAsia" w:cs="Times" w:hint="eastAsia"/>
          <w:b/>
          <w:bCs/>
          <w:kern w:val="0"/>
          <w:sz w:val="24"/>
          <w:szCs w:val="24"/>
        </w:rPr>
        <w:t>请年审机构对上述问题核查并发表明确意见。</w:t>
      </w:r>
    </w:p>
    <w:p w14:paraId="107BAF05" w14:textId="77777777" w:rsidR="003B2943" w:rsidRPr="00B51B7C" w:rsidRDefault="00AD2E9A" w:rsidP="003757F8">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会计师回复：</w:t>
      </w:r>
    </w:p>
    <w:p w14:paraId="748554E0" w14:textId="0A12DB82" w:rsidR="00AD2E9A" w:rsidRPr="00B51B7C" w:rsidRDefault="00AD2E9A" w:rsidP="003757F8">
      <w:pPr>
        <w:spacing w:line="360" w:lineRule="auto"/>
        <w:ind w:firstLineChars="200" w:firstLine="482"/>
        <w:rPr>
          <w:rFonts w:asciiTheme="minorEastAsia" w:hAnsiTheme="minorEastAsia" w:cs="Times"/>
          <w:b/>
          <w:bCs/>
          <w:kern w:val="0"/>
          <w:sz w:val="24"/>
          <w:szCs w:val="24"/>
        </w:rPr>
      </w:pPr>
      <w:r w:rsidRPr="00B51B7C">
        <w:rPr>
          <w:rFonts w:asciiTheme="minorEastAsia" w:hAnsiTheme="minorEastAsia" w:cs="Times" w:hint="eastAsia"/>
          <w:b/>
          <w:bCs/>
          <w:kern w:val="0"/>
          <w:sz w:val="24"/>
          <w:szCs w:val="24"/>
        </w:rPr>
        <w:t>针对上述事项，我们实施了以下主要核查程序：</w:t>
      </w:r>
    </w:p>
    <w:p w14:paraId="076ACC19" w14:textId="77777777" w:rsidR="00AD2E9A" w:rsidRPr="00B51B7C" w:rsidRDefault="00AD2E9A" w:rsidP="00AD2E9A">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1.获取并检查公司2022至2024年度前十名客户交易明细，包括前十名客户的名称、具体产品、交易金额等信息；</w:t>
      </w:r>
    </w:p>
    <w:p w14:paraId="1EE7FE22" w14:textId="27CEF697" w:rsidR="00AD2E9A" w:rsidRPr="00B51B7C" w:rsidRDefault="00AD2E9A" w:rsidP="00AD2E9A">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2.了解公司近三年主要客户的变化情况，分析相关变化的合理性；</w:t>
      </w:r>
    </w:p>
    <w:p w14:paraId="5BC5470A" w14:textId="3C03B339" w:rsidR="00AD2E9A" w:rsidRPr="00B51B7C" w:rsidRDefault="00AD2E9A" w:rsidP="00AD2E9A">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3.通过公开信息查询，检查2024年度前十名客户的背景信息，核查是否与公司、公司董事、监事、高级管理人员、5%以上股东、实际控制人等存在关联关系或可能造成利益倾斜的其他关系；</w:t>
      </w:r>
    </w:p>
    <w:p w14:paraId="03A5C45E" w14:textId="6D6941CE" w:rsidR="00AD2E9A" w:rsidRPr="00B51B7C" w:rsidRDefault="00AD2E9A" w:rsidP="00AD2E9A">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4.获取并检查相关董事、监事、高级管理人员与前十大客户关联关系的说明</w:t>
      </w:r>
      <w:r w:rsidR="005C782F" w:rsidRPr="00B51B7C">
        <w:rPr>
          <w:rFonts w:asciiTheme="minorEastAsia" w:hAnsiTheme="minorEastAsia" w:cs="Times" w:hint="eastAsia"/>
          <w:kern w:val="0"/>
          <w:sz w:val="24"/>
          <w:szCs w:val="24"/>
        </w:rPr>
        <w:t>；</w:t>
      </w:r>
    </w:p>
    <w:p w14:paraId="002CDA9C" w14:textId="17A0217C" w:rsidR="005C782F" w:rsidRPr="00B51B7C" w:rsidRDefault="005C782F" w:rsidP="00AD2E9A">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5.获取并检查2024年度供应商清单，与2024年度前十大客户明细进行比对，同时将2024年度前十大客户与账面采购记录进行核对，</w:t>
      </w:r>
      <w:r w:rsidR="001572BF" w:rsidRPr="00B51B7C">
        <w:rPr>
          <w:rFonts w:asciiTheme="minorEastAsia" w:hAnsiTheme="minorEastAsia" w:cs="Times" w:hint="eastAsia"/>
          <w:kern w:val="0"/>
          <w:sz w:val="24"/>
          <w:szCs w:val="24"/>
        </w:rPr>
        <w:t>以</w:t>
      </w:r>
      <w:r w:rsidRPr="00B51B7C">
        <w:rPr>
          <w:rFonts w:asciiTheme="minorEastAsia" w:hAnsiTheme="minorEastAsia" w:cs="Times" w:hint="eastAsia"/>
          <w:kern w:val="0"/>
          <w:sz w:val="24"/>
          <w:szCs w:val="24"/>
        </w:rPr>
        <w:t>核查是否存在客户和供应商重叠的情形。</w:t>
      </w:r>
    </w:p>
    <w:p w14:paraId="324F6C2E" w14:textId="77777777" w:rsidR="006E5536" w:rsidRPr="00B51B7C" w:rsidRDefault="005C782F" w:rsidP="006E553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经核查，会计师认为：</w:t>
      </w:r>
    </w:p>
    <w:p w14:paraId="4E84B778" w14:textId="4135B833" w:rsidR="006E5536" w:rsidRPr="00B51B7C" w:rsidRDefault="006E5536" w:rsidP="006E5536">
      <w:pPr>
        <w:spacing w:line="360" w:lineRule="auto"/>
        <w:ind w:firstLineChars="200" w:firstLine="480"/>
        <w:rPr>
          <w:rFonts w:asciiTheme="minorEastAsia" w:hAnsiTheme="minorEastAsia" w:cs="Times"/>
          <w:kern w:val="0"/>
          <w:sz w:val="24"/>
          <w:szCs w:val="24"/>
        </w:rPr>
      </w:pPr>
      <w:r w:rsidRPr="00B51B7C">
        <w:rPr>
          <w:rFonts w:asciiTheme="minorEastAsia" w:hAnsiTheme="minorEastAsia" w:cs="Times" w:hint="eastAsia"/>
          <w:kern w:val="0"/>
          <w:sz w:val="24"/>
          <w:szCs w:val="24"/>
        </w:rPr>
        <w:t>公司近三年主要客户发生变化具有合理性；2024年度前十名客户与公司、公司董事、监事、高级管理人员、5%以上股东、实际控制人等不存在关联关系或</w:t>
      </w:r>
      <w:r w:rsidRPr="00B51B7C">
        <w:rPr>
          <w:rFonts w:asciiTheme="minorEastAsia" w:hAnsiTheme="minorEastAsia" w:cs="Times" w:hint="eastAsia"/>
          <w:kern w:val="0"/>
          <w:sz w:val="24"/>
          <w:szCs w:val="24"/>
        </w:rPr>
        <w:lastRenderedPageBreak/>
        <w:t>可能造成利益倾斜的其他关系；2024年度前十名客户与公司供应商不存在重叠的情况。</w:t>
      </w:r>
    </w:p>
    <w:p w14:paraId="55845CB8" w14:textId="0951B70C" w:rsidR="00AD2E9A" w:rsidRPr="00B51B7C" w:rsidRDefault="00AD2E9A" w:rsidP="00796C84">
      <w:pPr>
        <w:spacing w:line="560" w:lineRule="exact"/>
        <w:ind w:firstLineChars="200" w:firstLine="482"/>
        <w:rPr>
          <w:rFonts w:asciiTheme="minorEastAsia" w:hAnsiTheme="minorEastAsia" w:cs="Times"/>
          <w:b/>
          <w:bCs/>
          <w:kern w:val="0"/>
          <w:sz w:val="24"/>
          <w:szCs w:val="24"/>
        </w:rPr>
      </w:pPr>
    </w:p>
    <w:p w14:paraId="60A437C9" w14:textId="261A69FB" w:rsidR="009B0D0D" w:rsidRPr="00B51B7C" w:rsidRDefault="009B0D0D" w:rsidP="00172C5C">
      <w:pPr>
        <w:topLinePunct/>
        <w:adjustRightInd w:val="0"/>
        <w:snapToGrid w:val="0"/>
        <w:spacing w:line="360" w:lineRule="auto"/>
        <w:ind w:firstLineChars="200" w:firstLine="482"/>
        <w:rPr>
          <w:rFonts w:asciiTheme="minorEastAsia" w:hAnsiTheme="minorEastAsia" w:cs="Times"/>
          <w:b/>
          <w:bCs/>
          <w:kern w:val="0"/>
          <w:sz w:val="24"/>
          <w:szCs w:val="24"/>
        </w:rPr>
      </w:pPr>
    </w:p>
    <w:p w14:paraId="5E609B0C" w14:textId="77777777" w:rsidR="003054AD" w:rsidRPr="00B51B7C" w:rsidRDefault="003054AD" w:rsidP="00172C5C">
      <w:pPr>
        <w:topLinePunct/>
        <w:adjustRightInd w:val="0"/>
        <w:snapToGrid w:val="0"/>
        <w:spacing w:line="360" w:lineRule="auto"/>
        <w:ind w:firstLineChars="200" w:firstLine="480"/>
        <w:rPr>
          <w:rFonts w:asciiTheme="minorEastAsia" w:hAnsiTheme="minorEastAsia" w:cs="Times New Roman"/>
          <w:color w:val="000000"/>
          <w:sz w:val="24"/>
          <w:szCs w:val="24"/>
        </w:rPr>
      </w:pPr>
    </w:p>
    <w:p w14:paraId="0C0326CE" w14:textId="77777777" w:rsidR="00A92E00" w:rsidRPr="00B51B7C" w:rsidRDefault="00A92E00" w:rsidP="00172C5C">
      <w:pPr>
        <w:topLinePunct/>
        <w:adjustRightInd w:val="0"/>
        <w:snapToGrid w:val="0"/>
        <w:spacing w:line="360" w:lineRule="auto"/>
        <w:ind w:firstLineChars="200" w:firstLine="480"/>
        <w:rPr>
          <w:rFonts w:asciiTheme="minorEastAsia" w:hAnsiTheme="minorEastAsia" w:cs="Times New Roman"/>
          <w:color w:val="000000"/>
          <w:sz w:val="24"/>
          <w:szCs w:val="24"/>
        </w:rPr>
      </w:pPr>
    </w:p>
    <w:p w14:paraId="0D422D30" w14:textId="77777777" w:rsidR="00A92E00" w:rsidRPr="00B51B7C" w:rsidRDefault="00A92E00" w:rsidP="00172C5C">
      <w:pPr>
        <w:topLinePunct/>
        <w:adjustRightInd w:val="0"/>
        <w:snapToGrid w:val="0"/>
        <w:spacing w:line="360" w:lineRule="auto"/>
        <w:ind w:firstLineChars="200" w:firstLine="480"/>
        <w:rPr>
          <w:rFonts w:asciiTheme="minorEastAsia" w:hAnsiTheme="minorEastAsia" w:cs="Times New Roman"/>
          <w:color w:val="000000"/>
          <w:sz w:val="24"/>
          <w:szCs w:val="24"/>
        </w:rPr>
      </w:pPr>
    </w:p>
    <w:p w14:paraId="3ABB1F56" w14:textId="77777777" w:rsidR="00A92E00" w:rsidRPr="00B51B7C" w:rsidRDefault="00A92E00" w:rsidP="00172C5C">
      <w:pPr>
        <w:topLinePunct/>
        <w:adjustRightInd w:val="0"/>
        <w:snapToGrid w:val="0"/>
        <w:spacing w:line="360" w:lineRule="auto"/>
        <w:ind w:firstLineChars="200" w:firstLine="480"/>
        <w:rPr>
          <w:rFonts w:asciiTheme="minorEastAsia" w:hAnsiTheme="minorEastAsia" w:cs="Times New Roman"/>
          <w:color w:val="000000"/>
          <w:sz w:val="24"/>
          <w:szCs w:val="24"/>
        </w:rPr>
      </w:pPr>
    </w:p>
    <w:p w14:paraId="61550B55" w14:textId="77777777" w:rsidR="00CD10FD" w:rsidRPr="00B51B7C" w:rsidRDefault="00CD10FD" w:rsidP="00E14D56">
      <w:pPr>
        <w:widowControl/>
        <w:tabs>
          <w:tab w:val="left" w:pos="7950"/>
        </w:tabs>
        <w:snapToGrid w:val="0"/>
        <w:ind w:right="-51"/>
        <w:jc w:val="left"/>
        <w:rPr>
          <w:rFonts w:asciiTheme="minorEastAsia" w:hAnsiTheme="minorEastAsia" w:cs="Arial"/>
          <w:kern w:val="0"/>
          <w:sz w:val="24"/>
        </w:rPr>
      </w:pPr>
    </w:p>
    <w:p w14:paraId="16FD1594" w14:textId="77777777" w:rsidR="00E14D56" w:rsidRPr="00B51B7C" w:rsidRDefault="00E14D56" w:rsidP="00E14D56">
      <w:pPr>
        <w:widowControl/>
        <w:tabs>
          <w:tab w:val="left" w:pos="7950"/>
        </w:tabs>
        <w:snapToGrid w:val="0"/>
        <w:ind w:right="-51"/>
        <w:jc w:val="left"/>
        <w:rPr>
          <w:rFonts w:asciiTheme="minorEastAsia" w:hAnsiTheme="minorEastAsia" w:cs="Arial"/>
          <w:kern w:val="0"/>
          <w:sz w:val="24"/>
        </w:rPr>
      </w:pPr>
      <w:r w:rsidRPr="00B51B7C">
        <w:rPr>
          <w:rFonts w:asciiTheme="minorEastAsia" w:hAnsiTheme="minorEastAsia" w:cs="Arial" w:hint="eastAsia"/>
          <w:kern w:val="0"/>
          <w:sz w:val="24"/>
        </w:rPr>
        <w:t>注册会计师：</w:t>
      </w:r>
      <w:r w:rsidRPr="00B51B7C">
        <w:rPr>
          <w:rFonts w:asciiTheme="minorEastAsia" w:hAnsiTheme="minorEastAsia" w:cs="Arial"/>
          <w:kern w:val="0"/>
          <w:sz w:val="24"/>
        </w:rPr>
        <w:t xml:space="preserve"> _______________     ________________</w:t>
      </w:r>
    </w:p>
    <w:p w14:paraId="06319667" w14:textId="77777777" w:rsidR="00E14D56" w:rsidRPr="00B51B7C" w:rsidRDefault="00E14D56" w:rsidP="00E14D56">
      <w:pPr>
        <w:widowControl/>
        <w:tabs>
          <w:tab w:val="left" w:pos="7950"/>
        </w:tabs>
        <w:snapToGrid w:val="0"/>
        <w:ind w:right="-51"/>
        <w:jc w:val="left"/>
        <w:rPr>
          <w:rFonts w:asciiTheme="minorEastAsia" w:hAnsiTheme="minorEastAsia" w:cs="Arial"/>
          <w:kern w:val="0"/>
          <w:sz w:val="24"/>
        </w:rPr>
      </w:pPr>
      <w:r w:rsidRPr="00B51B7C">
        <w:rPr>
          <w:rFonts w:asciiTheme="minorEastAsia" w:hAnsiTheme="minorEastAsia" w:cs="Arial"/>
          <w:kern w:val="0"/>
          <w:sz w:val="24"/>
        </w:rPr>
        <w:t xml:space="preserve">                  </w:t>
      </w:r>
      <w:proofErr w:type="gramStart"/>
      <w:r w:rsidRPr="00B51B7C">
        <w:rPr>
          <w:rFonts w:asciiTheme="minorEastAsia" w:hAnsiTheme="minorEastAsia" w:cs="Arial" w:hint="eastAsia"/>
          <w:kern w:val="0"/>
          <w:sz w:val="24"/>
        </w:rPr>
        <w:t>徐长俄</w:t>
      </w:r>
      <w:proofErr w:type="gramEnd"/>
      <w:r w:rsidRPr="00B51B7C">
        <w:rPr>
          <w:rFonts w:asciiTheme="minorEastAsia" w:hAnsiTheme="minorEastAsia" w:cs="Arial"/>
          <w:kern w:val="0"/>
          <w:sz w:val="24"/>
        </w:rPr>
        <w:t xml:space="preserve">               </w:t>
      </w:r>
      <w:r w:rsidR="005A1FC5" w:rsidRPr="00B51B7C">
        <w:rPr>
          <w:rFonts w:asciiTheme="minorEastAsia" w:hAnsiTheme="minorEastAsia" w:cs="Arial"/>
          <w:kern w:val="0"/>
          <w:sz w:val="24"/>
        </w:rPr>
        <w:t>许三春</w:t>
      </w:r>
    </w:p>
    <w:p w14:paraId="37639368" w14:textId="77777777" w:rsidR="00E14D56" w:rsidRPr="00B51B7C" w:rsidRDefault="00E14D56" w:rsidP="00E14D56">
      <w:pPr>
        <w:widowControl/>
        <w:tabs>
          <w:tab w:val="left" w:pos="7950"/>
        </w:tabs>
        <w:snapToGrid w:val="0"/>
        <w:ind w:right="-51"/>
        <w:jc w:val="left"/>
        <w:rPr>
          <w:rFonts w:asciiTheme="minorEastAsia" w:hAnsiTheme="minorEastAsia" w:cs="Arial"/>
          <w:kern w:val="0"/>
          <w:sz w:val="24"/>
        </w:rPr>
      </w:pPr>
    </w:p>
    <w:p w14:paraId="021ADA25" w14:textId="77777777" w:rsidR="00E14D56" w:rsidRPr="00B51B7C" w:rsidRDefault="00E14D56" w:rsidP="00E14D56">
      <w:pPr>
        <w:widowControl/>
        <w:tabs>
          <w:tab w:val="left" w:pos="7950"/>
        </w:tabs>
        <w:snapToGrid w:val="0"/>
        <w:ind w:right="-51"/>
        <w:jc w:val="left"/>
        <w:rPr>
          <w:rFonts w:asciiTheme="minorEastAsia" w:hAnsiTheme="minorEastAsia" w:cs="Arial"/>
          <w:kern w:val="0"/>
          <w:sz w:val="24"/>
        </w:rPr>
      </w:pPr>
    </w:p>
    <w:p w14:paraId="5B2F7D5B" w14:textId="77777777" w:rsidR="009B0D0D" w:rsidRPr="00B51B7C" w:rsidRDefault="009B0D0D" w:rsidP="00E14D56">
      <w:pPr>
        <w:widowControl/>
        <w:wordWrap w:val="0"/>
        <w:ind w:right="720"/>
        <w:jc w:val="right"/>
        <w:rPr>
          <w:rFonts w:asciiTheme="minorEastAsia" w:hAnsiTheme="minorEastAsia" w:cs="宋体"/>
          <w:kern w:val="0"/>
          <w:sz w:val="24"/>
        </w:rPr>
      </w:pPr>
    </w:p>
    <w:p w14:paraId="47E8E394" w14:textId="77777777" w:rsidR="00E14D56" w:rsidRPr="00B51B7C" w:rsidRDefault="00E14D56" w:rsidP="00C61C52">
      <w:pPr>
        <w:widowControl/>
        <w:ind w:right="720"/>
        <w:jc w:val="right"/>
        <w:rPr>
          <w:rFonts w:asciiTheme="minorEastAsia" w:hAnsiTheme="minorEastAsia" w:cs="宋体"/>
          <w:kern w:val="0"/>
          <w:sz w:val="24"/>
        </w:rPr>
      </w:pPr>
      <w:r w:rsidRPr="00B51B7C">
        <w:rPr>
          <w:rFonts w:asciiTheme="minorEastAsia" w:hAnsiTheme="minorEastAsia" w:cs="宋体" w:hint="eastAsia"/>
          <w:kern w:val="0"/>
          <w:sz w:val="24"/>
        </w:rPr>
        <w:t>苏亚金诚会计师事务所（特殊普通合伙）</w:t>
      </w:r>
    </w:p>
    <w:p w14:paraId="4C6F753D" w14:textId="1B28289D" w:rsidR="006958E7" w:rsidRPr="00B51B7C" w:rsidRDefault="00E14D56" w:rsidP="00C61C52">
      <w:pPr>
        <w:spacing w:before="156" w:after="156"/>
        <w:ind w:leftChars="229" w:left="481" w:firstLineChars="1800" w:firstLine="4320"/>
        <w:rPr>
          <w:rFonts w:asciiTheme="minorEastAsia" w:hAnsiTheme="minorEastAsia"/>
        </w:rPr>
      </w:pPr>
      <w:r w:rsidRPr="00B51B7C">
        <w:rPr>
          <w:rFonts w:asciiTheme="minorEastAsia" w:hAnsiTheme="minorEastAsia"/>
          <w:kern w:val="0"/>
          <w:sz w:val="24"/>
        </w:rPr>
        <w:t>202</w:t>
      </w:r>
      <w:r w:rsidR="00796C84" w:rsidRPr="00B51B7C">
        <w:rPr>
          <w:rFonts w:asciiTheme="minorEastAsia" w:hAnsiTheme="minorEastAsia" w:hint="eastAsia"/>
          <w:kern w:val="0"/>
          <w:sz w:val="24"/>
        </w:rPr>
        <w:t>5</w:t>
      </w:r>
      <w:r w:rsidRPr="00B51B7C">
        <w:rPr>
          <w:rFonts w:asciiTheme="minorEastAsia" w:hAnsiTheme="minorEastAsia" w:hint="eastAsia"/>
          <w:kern w:val="0"/>
          <w:sz w:val="24"/>
        </w:rPr>
        <w:t>年</w:t>
      </w:r>
      <w:r w:rsidR="008A7BE8" w:rsidRPr="00B51B7C">
        <w:rPr>
          <w:rFonts w:asciiTheme="minorEastAsia" w:hAnsiTheme="minorEastAsia"/>
          <w:kern w:val="0"/>
          <w:sz w:val="24"/>
        </w:rPr>
        <w:t>6</w:t>
      </w:r>
      <w:r w:rsidRPr="00B51B7C">
        <w:rPr>
          <w:rFonts w:asciiTheme="minorEastAsia" w:hAnsiTheme="minorEastAsia" w:hint="eastAsia"/>
          <w:kern w:val="0"/>
          <w:sz w:val="24"/>
        </w:rPr>
        <w:t>月</w:t>
      </w:r>
      <w:r w:rsidRPr="00B51B7C">
        <w:rPr>
          <w:rFonts w:asciiTheme="minorEastAsia" w:hAnsiTheme="minorEastAsia"/>
          <w:kern w:val="0"/>
          <w:sz w:val="24"/>
        </w:rPr>
        <w:t xml:space="preserve"> </w:t>
      </w:r>
      <w:r w:rsidR="008A7BE8" w:rsidRPr="00B51B7C">
        <w:rPr>
          <w:rFonts w:asciiTheme="minorEastAsia" w:hAnsiTheme="minorEastAsia"/>
          <w:kern w:val="0"/>
          <w:sz w:val="24"/>
        </w:rPr>
        <w:t>3</w:t>
      </w:r>
      <w:r w:rsidRPr="00B51B7C">
        <w:rPr>
          <w:rFonts w:asciiTheme="minorEastAsia" w:hAnsiTheme="minorEastAsia" w:hint="eastAsia"/>
          <w:kern w:val="0"/>
          <w:sz w:val="24"/>
        </w:rPr>
        <w:t>日</w:t>
      </w:r>
    </w:p>
    <w:sectPr w:rsidR="006958E7" w:rsidRPr="00B51B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B543" w14:textId="77777777" w:rsidR="00BB4F4B" w:rsidRDefault="00BB4F4B" w:rsidP="00BC6934">
      <w:r>
        <w:separator/>
      </w:r>
    </w:p>
  </w:endnote>
  <w:endnote w:type="continuationSeparator" w:id="0">
    <w:p w14:paraId="2AEF7C23" w14:textId="77777777" w:rsidR="00BB4F4B" w:rsidRDefault="00BB4F4B" w:rsidP="00BC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820132"/>
      <w:docPartObj>
        <w:docPartGallery w:val="Page Numbers (Bottom of Page)"/>
        <w:docPartUnique/>
      </w:docPartObj>
    </w:sdtPr>
    <w:sdtEndPr/>
    <w:sdtContent>
      <w:p w14:paraId="5B2C46D9" w14:textId="1518CB2F" w:rsidR="00BF7747" w:rsidRDefault="00BF7747">
        <w:pPr>
          <w:pStyle w:val="a5"/>
          <w:jc w:val="center"/>
        </w:pPr>
        <w:r>
          <w:fldChar w:fldCharType="begin"/>
        </w:r>
        <w:r>
          <w:instrText>PAGE   \* MERGEFORMAT</w:instrText>
        </w:r>
        <w:r>
          <w:fldChar w:fldCharType="separate"/>
        </w:r>
        <w:r w:rsidR="00417749" w:rsidRPr="00417749">
          <w:rPr>
            <w:noProof/>
            <w:lang w:val="zh-CN"/>
          </w:rPr>
          <w:t>24</w:t>
        </w:r>
        <w:r>
          <w:fldChar w:fldCharType="end"/>
        </w:r>
      </w:p>
    </w:sdtContent>
  </w:sdt>
  <w:p w14:paraId="4CA6D24A" w14:textId="77777777" w:rsidR="00BF7747" w:rsidRDefault="00BF77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3E995" w14:textId="77777777" w:rsidR="00BB4F4B" w:rsidRDefault="00BB4F4B" w:rsidP="00BC6934">
      <w:r>
        <w:separator/>
      </w:r>
    </w:p>
  </w:footnote>
  <w:footnote w:type="continuationSeparator" w:id="0">
    <w:p w14:paraId="7D4A47C6" w14:textId="77777777" w:rsidR="00BB4F4B" w:rsidRDefault="00BB4F4B" w:rsidP="00BC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794"/>
    <w:multiLevelType w:val="hybridMultilevel"/>
    <w:tmpl w:val="68CE3758"/>
    <w:lvl w:ilvl="0" w:tplc="0A863398">
      <w:start w:val="1"/>
      <w:numFmt w:val="none"/>
      <w:lvlText w:val="一、"/>
      <w:lvlJc w:val="left"/>
      <w:pPr>
        <w:ind w:left="1346" w:hanging="504"/>
      </w:pPr>
      <w:rPr>
        <w:rFonts w:hint="default"/>
      </w:rPr>
    </w:lvl>
    <w:lvl w:ilvl="1" w:tplc="04090019" w:tentative="1">
      <w:start w:val="1"/>
      <w:numFmt w:val="lowerLetter"/>
      <w:lvlText w:val="%2)"/>
      <w:lvlJc w:val="left"/>
      <w:pPr>
        <w:ind w:left="1722" w:hanging="440"/>
      </w:pPr>
    </w:lvl>
    <w:lvl w:ilvl="2" w:tplc="0409001B" w:tentative="1">
      <w:start w:val="1"/>
      <w:numFmt w:val="lowerRoman"/>
      <w:lvlText w:val="%3."/>
      <w:lvlJc w:val="right"/>
      <w:pPr>
        <w:ind w:left="2162" w:hanging="440"/>
      </w:pPr>
    </w:lvl>
    <w:lvl w:ilvl="3" w:tplc="0409000F" w:tentative="1">
      <w:start w:val="1"/>
      <w:numFmt w:val="decimal"/>
      <w:lvlText w:val="%4."/>
      <w:lvlJc w:val="left"/>
      <w:pPr>
        <w:ind w:left="2602" w:hanging="440"/>
      </w:pPr>
    </w:lvl>
    <w:lvl w:ilvl="4" w:tplc="04090019" w:tentative="1">
      <w:start w:val="1"/>
      <w:numFmt w:val="lowerLetter"/>
      <w:lvlText w:val="%5)"/>
      <w:lvlJc w:val="left"/>
      <w:pPr>
        <w:ind w:left="3042" w:hanging="440"/>
      </w:pPr>
    </w:lvl>
    <w:lvl w:ilvl="5" w:tplc="0409001B" w:tentative="1">
      <w:start w:val="1"/>
      <w:numFmt w:val="lowerRoman"/>
      <w:lvlText w:val="%6."/>
      <w:lvlJc w:val="right"/>
      <w:pPr>
        <w:ind w:left="3482" w:hanging="440"/>
      </w:pPr>
    </w:lvl>
    <w:lvl w:ilvl="6" w:tplc="0409000F" w:tentative="1">
      <w:start w:val="1"/>
      <w:numFmt w:val="decimal"/>
      <w:lvlText w:val="%7."/>
      <w:lvlJc w:val="left"/>
      <w:pPr>
        <w:ind w:left="3922" w:hanging="440"/>
      </w:pPr>
    </w:lvl>
    <w:lvl w:ilvl="7" w:tplc="04090019" w:tentative="1">
      <w:start w:val="1"/>
      <w:numFmt w:val="lowerLetter"/>
      <w:lvlText w:val="%8)"/>
      <w:lvlJc w:val="left"/>
      <w:pPr>
        <w:ind w:left="4362" w:hanging="440"/>
      </w:pPr>
    </w:lvl>
    <w:lvl w:ilvl="8" w:tplc="0409001B" w:tentative="1">
      <w:start w:val="1"/>
      <w:numFmt w:val="lowerRoman"/>
      <w:lvlText w:val="%9."/>
      <w:lvlJc w:val="right"/>
      <w:pPr>
        <w:ind w:left="4802" w:hanging="440"/>
      </w:pPr>
    </w:lvl>
  </w:abstractNum>
  <w:abstractNum w:abstractNumId="1" w15:restartNumberingAfterBreak="0">
    <w:nsid w:val="0E34110F"/>
    <w:multiLevelType w:val="hybridMultilevel"/>
    <w:tmpl w:val="2D661E9E"/>
    <w:lvl w:ilvl="0" w:tplc="E1B460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787E0B"/>
    <w:multiLevelType w:val="hybridMultilevel"/>
    <w:tmpl w:val="90021E80"/>
    <w:lvl w:ilvl="0" w:tplc="A72498C6">
      <w:start w:val="1"/>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50047B33"/>
    <w:multiLevelType w:val="hybridMultilevel"/>
    <w:tmpl w:val="203E7480"/>
    <w:lvl w:ilvl="0" w:tplc="B8DA10F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186319"/>
    <w:multiLevelType w:val="hybridMultilevel"/>
    <w:tmpl w:val="F19C8C28"/>
    <w:lvl w:ilvl="0" w:tplc="E9AE514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0523861"/>
    <w:multiLevelType w:val="hybridMultilevel"/>
    <w:tmpl w:val="FAA63656"/>
    <w:lvl w:ilvl="0" w:tplc="B5CE1062">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A6"/>
    <w:rsid w:val="00000A09"/>
    <w:rsid w:val="00003D3B"/>
    <w:rsid w:val="0000461F"/>
    <w:rsid w:val="00005BF1"/>
    <w:rsid w:val="00006903"/>
    <w:rsid w:val="00007B54"/>
    <w:rsid w:val="000120E5"/>
    <w:rsid w:val="000144A8"/>
    <w:rsid w:val="00014B7F"/>
    <w:rsid w:val="00015206"/>
    <w:rsid w:val="000209DD"/>
    <w:rsid w:val="00020C8E"/>
    <w:rsid w:val="00023AC5"/>
    <w:rsid w:val="00023BBF"/>
    <w:rsid w:val="00023FAD"/>
    <w:rsid w:val="00024F39"/>
    <w:rsid w:val="0002503A"/>
    <w:rsid w:val="0002689A"/>
    <w:rsid w:val="0003080C"/>
    <w:rsid w:val="00030A8E"/>
    <w:rsid w:val="00033690"/>
    <w:rsid w:val="00033FB4"/>
    <w:rsid w:val="000350B4"/>
    <w:rsid w:val="00037073"/>
    <w:rsid w:val="00037CB9"/>
    <w:rsid w:val="0004001D"/>
    <w:rsid w:val="00041F0A"/>
    <w:rsid w:val="0004326B"/>
    <w:rsid w:val="00045BCE"/>
    <w:rsid w:val="0004734A"/>
    <w:rsid w:val="00050065"/>
    <w:rsid w:val="00050391"/>
    <w:rsid w:val="00051509"/>
    <w:rsid w:val="00051BA7"/>
    <w:rsid w:val="000546F1"/>
    <w:rsid w:val="00054BC4"/>
    <w:rsid w:val="00055385"/>
    <w:rsid w:val="0005653D"/>
    <w:rsid w:val="00057661"/>
    <w:rsid w:val="000602A6"/>
    <w:rsid w:val="0006192A"/>
    <w:rsid w:val="000638F7"/>
    <w:rsid w:val="0006471A"/>
    <w:rsid w:val="00070A6F"/>
    <w:rsid w:val="00070AC8"/>
    <w:rsid w:val="00073E99"/>
    <w:rsid w:val="000748E2"/>
    <w:rsid w:val="000749EA"/>
    <w:rsid w:val="0007610A"/>
    <w:rsid w:val="00077BEB"/>
    <w:rsid w:val="00081016"/>
    <w:rsid w:val="0008273B"/>
    <w:rsid w:val="0008333E"/>
    <w:rsid w:val="0008348F"/>
    <w:rsid w:val="00083F6B"/>
    <w:rsid w:val="000904BC"/>
    <w:rsid w:val="0009173C"/>
    <w:rsid w:val="00093F6F"/>
    <w:rsid w:val="00094F94"/>
    <w:rsid w:val="000970AF"/>
    <w:rsid w:val="000A0446"/>
    <w:rsid w:val="000A2ADC"/>
    <w:rsid w:val="000A3CF3"/>
    <w:rsid w:val="000A5A32"/>
    <w:rsid w:val="000A6635"/>
    <w:rsid w:val="000A704D"/>
    <w:rsid w:val="000A7F99"/>
    <w:rsid w:val="000B1DB2"/>
    <w:rsid w:val="000B21AB"/>
    <w:rsid w:val="000C05A1"/>
    <w:rsid w:val="000C2DEA"/>
    <w:rsid w:val="000C5973"/>
    <w:rsid w:val="000C5B9C"/>
    <w:rsid w:val="000D063B"/>
    <w:rsid w:val="000D159D"/>
    <w:rsid w:val="000D16B5"/>
    <w:rsid w:val="000D4718"/>
    <w:rsid w:val="000D4C90"/>
    <w:rsid w:val="000D7B79"/>
    <w:rsid w:val="000E2CB0"/>
    <w:rsid w:val="000E33C0"/>
    <w:rsid w:val="000E3A33"/>
    <w:rsid w:val="000E41F6"/>
    <w:rsid w:val="000E6B97"/>
    <w:rsid w:val="000E6F50"/>
    <w:rsid w:val="000F4E45"/>
    <w:rsid w:val="000F5F96"/>
    <w:rsid w:val="00102787"/>
    <w:rsid w:val="00103F0A"/>
    <w:rsid w:val="0010542B"/>
    <w:rsid w:val="00105FEC"/>
    <w:rsid w:val="001071BA"/>
    <w:rsid w:val="00111381"/>
    <w:rsid w:val="0011170D"/>
    <w:rsid w:val="001121DE"/>
    <w:rsid w:val="00115EB1"/>
    <w:rsid w:val="00116901"/>
    <w:rsid w:val="00124C54"/>
    <w:rsid w:val="00127D0D"/>
    <w:rsid w:val="001349FD"/>
    <w:rsid w:val="00134A6D"/>
    <w:rsid w:val="00135A47"/>
    <w:rsid w:val="0014257B"/>
    <w:rsid w:val="00142DB6"/>
    <w:rsid w:val="001442F3"/>
    <w:rsid w:val="00146D62"/>
    <w:rsid w:val="00146D8F"/>
    <w:rsid w:val="001530BE"/>
    <w:rsid w:val="001534DB"/>
    <w:rsid w:val="001540A8"/>
    <w:rsid w:val="00154527"/>
    <w:rsid w:val="0015453F"/>
    <w:rsid w:val="00154960"/>
    <w:rsid w:val="001572BF"/>
    <w:rsid w:val="00163C08"/>
    <w:rsid w:val="00170EFB"/>
    <w:rsid w:val="00172C5C"/>
    <w:rsid w:val="0017470A"/>
    <w:rsid w:val="00183095"/>
    <w:rsid w:val="001850C5"/>
    <w:rsid w:val="00186078"/>
    <w:rsid w:val="0018646C"/>
    <w:rsid w:val="00190DE4"/>
    <w:rsid w:val="001913AD"/>
    <w:rsid w:val="00191F8A"/>
    <w:rsid w:val="0019585C"/>
    <w:rsid w:val="001A02C6"/>
    <w:rsid w:val="001A0DEC"/>
    <w:rsid w:val="001A1D27"/>
    <w:rsid w:val="001A48B9"/>
    <w:rsid w:val="001A56C5"/>
    <w:rsid w:val="001A5EB6"/>
    <w:rsid w:val="001A7666"/>
    <w:rsid w:val="001B0767"/>
    <w:rsid w:val="001B0DAB"/>
    <w:rsid w:val="001B2419"/>
    <w:rsid w:val="001B35C6"/>
    <w:rsid w:val="001B3B6F"/>
    <w:rsid w:val="001B51CA"/>
    <w:rsid w:val="001C3092"/>
    <w:rsid w:val="001C4E1C"/>
    <w:rsid w:val="001C56CA"/>
    <w:rsid w:val="001C72A0"/>
    <w:rsid w:val="001D0D5E"/>
    <w:rsid w:val="001D2017"/>
    <w:rsid w:val="001E0283"/>
    <w:rsid w:val="001E03F0"/>
    <w:rsid w:val="001E1505"/>
    <w:rsid w:val="001E28A1"/>
    <w:rsid w:val="001E36C8"/>
    <w:rsid w:val="001E3ED6"/>
    <w:rsid w:val="001E4AD4"/>
    <w:rsid w:val="001F1ACC"/>
    <w:rsid w:val="001F3B00"/>
    <w:rsid w:val="0020274E"/>
    <w:rsid w:val="00205FC1"/>
    <w:rsid w:val="0020686C"/>
    <w:rsid w:val="00207910"/>
    <w:rsid w:val="002105D8"/>
    <w:rsid w:val="00210C90"/>
    <w:rsid w:val="00210D49"/>
    <w:rsid w:val="00211945"/>
    <w:rsid w:val="002129D9"/>
    <w:rsid w:val="00215786"/>
    <w:rsid w:val="00217534"/>
    <w:rsid w:val="00217584"/>
    <w:rsid w:val="00220164"/>
    <w:rsid w:val="00220E8F"/>
    <w:rsid w:val="00221291"/>
    <w:rsid w:val="00222EA1"/>
    <w:rsid w:val="002235B2"/>
    <w:rsid w:val="00226A1B"/>
    <w:rsid w:val="00227AF4"/>
    <w:rsid w:val="00231075"/>
    <w:rsid w:val="002334DA"/>
    <w:rsid w:val="002372C8"/>
    <w:rsid w:val="00237F02"/>
    <w:rsid w:val="002401F3"/>
    <w:rsid w:val="00250520"/>
    <w:rsid w:val="0025718A"/>
    <w:rsid w:val="00260CAF"/>
    <w:rsid w:val="0026195F"/>
    <w:rsid w:val="00262E1B"/>
    <w:rsid w:val="00262F4D"/>
    <w:rsid w:val="00266838"/>
    <w:rsid w:val="00270781"/>
    <w:rsid w:val="00270C1D"/>
    <w:rsid w:val="00270CFE"/>
    <w:rsid w:val="00273BEA"/>
    <w:rsid w:val="00273BEF"/>
    <w:rsid w:val="0027428E"/>
    <w:rsid w:val="00276D92"/>
    <w:rsid w:val="00277122"/>
    <w:rsid w:val="00277C91"/>
    <w:rsid w:val="00280BF1"/>
    <w:rsid w:val="00281452"/>
    <w:rsid w:val="00282510"/>
    <w:rsid w:val="0028410B"/>
    <w:rsid w:val="00285444"/>
    <w:rsid w:val="00286FC5"/>
    <w:rsid w:val="00287B61"/>
    <w:rsid w:val="00291556"/>
    <w:rsid w:val="00292A64"/>
    <w:rsid w:val="002971AE"/>
    <w:rsid w:val="00297239"/>
    <w:rsid w:val="002A0054"/>
    <w:rsid w:val="002A08E0"/>
    <w:rsid w:val="002A171B"/>
    <w:rsid w:val="002A1E43"/>
    <w:rsid w:val="002A3AAE"/>
    <w:rsid w:val="002A3C6E"/>
    <w:rsid w:val="002A451E"/>
    <w:rsid w:val="002A4A4F"/>
    <w:rsid w:val="002A503D"/>
    <w:rsid w:val="002A6892"/>
    <w:rsid w:val="002B121C"/>
    <w:rsid w:val="002B185D"/>
    <w:rsid w:val="002B1C51"/>
    <w:rsid w:val="002B44B9"/>
    <w:rsid w:val="002B56BE"/>
    <w:rsid w:val="002B6D9C"/>
    <w:rsid w:val="002B6E17"/>
    <w:rsid w:val="002C0C4B"/>
    <w:rsid w:val="002C6100"/>
    <w:rsid w:val="002D0AA2"/>
    <w:rsid w:val="002D35CF"/>
    <w:rsid w:val="002D6167"/>
    <w:rsid w:val="002E08E0"/>
    <w:rsid w:val="002E0DFC"/>
    <w:rsid w:val="002E3B62"/>
    <w:rsid w:val="002E681A"/>
    <w:rsid w:val="002F2C7B"/>
    <w:rsid w:val="002F2F06"/>
    <w:rsid w:val="002F4195"/>
    <w:rsid w:val="002F4449"/>
    <w:rsid w:val="002F4800"/>
    <w:rsid w:val="002F5A59"/>
    <w:rsid w:val="002F713F"/>
    <w:rsid w:val="003020DB"/>
    <w:rsid w:val="0030212F"/>
    <w:rsid w:val="00302A26"/>
    <w:rsid w:val="00305333"/>
    <w:rsid w:val="003054AD"/>
    <w:rsid w:val="003058D5"/>
    <w:rsid w:val="003143E6"/>
    <w:rsid w:val="00317384"/>
    <w:rsid w:val="0031738B"/>
    <w:rsid w:val="00317627"/>
    <w:rsid w:val="003203F0"/>
    <w:rsid w:val="00320C0C"/>
    <w:rsid w:val="003227B9"/>
    <w:rsid w:val="00324E8C"/>
    <w:rsid w:val="003251D5"/>
    <w:rsid w:val="003266FD"/>
    <w:rsid w:val="0033207A"/>
    <w:rsid w:val="00332F4A"/>
    <w:rsid w:val="003339E9"/>
    <w:rsid w:val="00333B80"/>
    <w:rsid w:val="003344C3"/>
    <w:rsid w:val="00336052"/>
    <w:rsid w:val="00336C13"/>
    <w:rsid w:val="0033706E"/>
    <w:rsid w:val="00337652"/>
    <w:rsid w:val="00340556"/>
    <w:rsid w:val="00340E0F"/>
    <w:rsid w:val="0034133D"/>
    <w:rsid w:val="0034152A"/>
    <w:rsid w:val="003513EC"/>
    <w:rsid w:val="00357A1D"/>
    <w:rsid w:val="00357FC8"/>
    <w:rsid w:val="00360128"/>
    <w:rsid w:val="00364641"/>
    <w:rsid w:val="00364DCD"/>
    <w:rsid w:val="0036624F"/>
    <w:rsid w:val="00367514"/>
    <w:rsid w:val="00373631"/>
    <w:rsid w:val="00373719"/>
    <w:rsid w:val="00375561"/>
    <w:rsid w:val="003755F1"/>
    <w:rsid w:val="003757F8"/>
    <w:rsid w:val="00376994"/>
    <w:rsid w:val="00376B99"/>
    <w:rsid w:val="003772FE"/>
    <w:rsid w:val="0037738F"/>
    <w:rsid w:val="00377E9A"/>
    <w:rsid w:val="00381C4C"/>
    <w:rsid w:val="00381E1F"/>
    <w:rsid w:val="00384DD1"/>
    <w:rsid w:val="003908CE"/>
    <w:rsid w:val="003912B6"/>
    <w:rsid w:val="00391BE5"/>
    <w:rsid w:val="003952C1"/>
    <w:rsid w:val="00397659"/>
    <w:rsid w:val="003A1956"/>
    <w:rsid w:val="003A3D89"/>
    <w:rsid w:val="003A3EAF"/>
    <w:rsid w:val="003A447F"/>
    <w:rsid w:val="003A56AD"/>
    <w:rsid w:val="003A6D74"/>
    <w:rsid w:val="003A7197"/>
    <w:rsid w:val="003A7754"/>
    <w:rsid w:val="003B2943"/>
    <w:rsid w:val="003B447B"/>
    <w:rsid w:val="003B61B1"/>
    <w:rsid w:val="003C3A01"/>
    <w:rsid w:val="003C573E"/>
    <w:rsid w:val="003C6F37"/>
    <w:rsid w:val="003D2C1B"/>
    <w:rsid w:val="003D475E"/>
    <w:rsid w:val="003D50AE"/>
    <w:rsid w:val="003D5B58"/>
    <w:rsid w:val="003D662A"/>
    <w:rsid w:val="003D7B80"/>
    <w:rsid w:val="003E0995"/>
    <w:rsid w:val="003E0EC6"/>
    <w:rsid w:val="003E20EC"/>
    <w:rsid w:val="003E4C20"/>
    <w:rsid w:val="003F06CE"/>
    <w:rsid w:val="003F471B"/>
    <w:rsid w:val="003F5258"/>
    <w:rsid w:val="003F6A04"/>
    <w:rsid w:val="00401468"/>
    <w:rsid w:val="0040165E"/>
    <w:rsid w:val="00404B57"/>
    <w:rsid w:val="0040637F"/>
    <w:rsid w:val="00407CEF"/>
    <w:rsid w:val="0041187D"/>
    <w:rsid w:val="0041215B"/>
    <w:rsid w:val="00412852"/>
    <w:rsid w:val="00414FD7"/>
    <w:rsid w:val="00415E1F"/>
    <w:rsid w:val="0041709E"/>
    <w:rsid w:val="00417749"/>
    <w:rsid w:val="00417B70"/>
    <w:rsid w:val="00417E61"/>
    <w:rsid w:val="00417E85"/>
    <w:rsid w:val="00421F75"/>
    <w:rsid w:val="00421F9D"/>
    <w:rsid w:val="0042349A"/>
    <w:rsid w:val="00426F9A"/>
    <w:rsid w:val="00427625"/>
    <w:rsid w:val="00427FCF"/>
    <w:rsid w:val="00430013"/>
    <w:rsid w:val="00430D2F"/>
    <w:rsid w:val="00431468"/>
    <w:rsid w:val="0043267E"/>
    <w:rsid w:val="00433F8E"/>
    <w:rsid w:val="00434148"/>
    <w:rsid w:val="00434933"/>
    <w:rsid w:val="00434E18"/>
    <w:rsid w:val="004362E3"/>
    <w:rsid w:val="00436B9A"/>
    <w:rsid w:val="00437D06"/>
    <w:rsid w:val="00441FF8"/>
    <w:rsid w:val="00443EEF"/>
    <w:rsid w:val="0044438A"/>
    <w:rsid w:val="004464D1"/>
    <w:rsid w:val="004505AA"/>
    <w:rsid w:val="00450DA8"/>
    <w:rsid w:val="00451C1B"/>
    <w:rsid w:val="00454458"/>
    <w:rsid w:val="004559F7"/>
    <w:rsid w:val="00456143"/>
    <w:rsid w:val="004564D6"/>
    <w:rsid w:val="00460E4C"/>
    <w:rsid w:val="00461110"/>
    <w:rsid w:val="00461205"/>
    <w:rsid w:val="0046120C"/>
    <w:rsid w:val="00463B8B"/>
    <w:rsid w:val="004640FF"/>
    <w:rsid w:val="00466957"/>
    <w:rsid w:val="00471D8E"/>
    <w:rsid w:val="004734A5"/>
    <w:rsid w:val="00475AE5"/>
    <w:rsid w:val="00476E90"/>
    <w:rsid w:val="004775B5"/>
    <w:rsid w:val="0048057A"/>
    <w:rsid w:val="004822A6"/>
    <w:rsid w:val="00486B6E"/>
    <w:rsid w:val="00486E4C"/>
    <w:rsid w:val="004873D5"/>
    <w:rsid w:val="0049107D"/>
    <w:rsid w:val="00493AB3"/>
    <w:rsid w:val="00495D9C"/>
    <w:rsid w:val="004971FE"/>
    <w:rsid w:val="004A0C6A"/>
    <w:rsid w:val="004A0F82"/>
    <w:rsid w:val="004A1247"/>
    <w:rsid w:val="004A2CD0"/>
    <w:rsid w:val="004A2CFE"/>
    <w:rsid w:val="004A3C8C"/>
    <w:rsid w:val="004A5A43"/>
    <w:rsid w:val="004A63F4"/>
    <w:rsid w:val="004A6EC7"/>
    <w:rsid w:val="004B0626"/>
    <w:rsid w:val="004B2847"/>
    <w:rsid w:val="004B5EBC"/>
    <w:rsid w:val="004B76BC"/>
    <w:rsid w:val="004B7735"/>
    <w:rsid w:val="004B7ACA"/>
    <w:rsid w:val="004B7E47"/>
    <w:rsid w:val="004C120F"/>
    <w:rsid w:val="004C39D8"/>
    <w:rsid w:val="004C50D4"/>
    <w:rsid w:val="004C6782"/>
    <w:rsid w:val="004D0554"/>
    <w:rsid w:val="004D0BFD"/>
    <w:rsid w:val="004D22A9"/>
    <w:rsid w:val="004D2C15"/>
    <w:rsid w:val="004D3E31"/>
    <w:rsid w:val="004D699C"/>
    <w:rsid w:val="004E13F3"/>
    <w:rsid w:val="004E5310"/>
    <w:rsid w:val="004E7258"/>
    <w:rsid w:val="004F1F23"/>
    <w:rsid w:val="004F6874"/>
    <w:rsid w:val="004F72E0"/>
    <w:rsid w:val="004F748E"/>
    <w:rsid w:val="004F7B1F"/>
    <w:rsid w:val="00501727"/>
    <w:rsid w:val="00502312"/>
    <w:rsid w:val="00502BA9"/>
    <w:rsid w:val="0050488F"/>
    <w:rsid w:val="005058F9"/>
    <w:rsid w:val="0051077B"/>
    <w:rsid w:val="00513AB6"/>
    <w:rsid w:val="005152C1"/>
    <w:rsid w:val="00516814"/>
    <w:rsid w:val="005202BC"/>
    <w:rsid w:val="005219D4"/>
    <w:rsid w:val="00523BA1"/>
    <w:rsid w:val="00525900"/>
    <w:rsid w:val="005306DB"/>
    <w:rsid w:val="00530A60"/>
    <w:rsid w:val="005318EB"/>
    <w:rsid w:val="0053486A"/>
    <w:rsid w:val="00534F98"/>
    <w:rsid w:val="00535CFD"/>
    <w:rsid w:val="00542AD7"/>
    <w:rsid w:val="00543F01"/>
    <w:rsid w:val="0054714A"/>
    <w:rsid w:val="005503DC"/>
    <w:rsid w:val="00556586"/>
    <w:rsid w:val="0056047E"/>
    <w:rsid w:val="00562A51"/>
    <w:rsid w:val="00563139"/>
    <w:rsid w:val="00566719"/>
    <w:rsid w:val="005732DF"/>
    <w:rsid w:val="00573AAD"/>
    <w:rsid w:val="0057446C"/>
    <w:rsid w:val="00581FFE"/>
    <w:rsid w:val="0058213C"/>
    <w:rsid w:val="00584E80"/>
    <w:rsid w:val="00584FDF"/>
    <w:rsid w:val="00590815"/>
    <w:rsid w:val="00590FA6"/>
    <w:rsid w:val="00590FE4"/>
    <w:rsid w:val="00592626"/>
    <w:rsid w:val="00592C1D"/>
    <w:rsid w:val="00594709"/>
    <w:rsid w:val="00594CE6"/>
    <w:rsid w:val="00596CFA"/>
    <w:rsid w:val="00596FB0"/>
    <w:rsid w:val="005A0AF4"/>
    <w:rsid w:val="005A1FC5"/>
    <w:rsid w:val="005A438D"/>
    <w:rsid w:val="005A7721"/>
    <w:rsid w:val="005B15E8"/>
    <w:rsid w:val="005B1DAA"/>
    <w:rsid w:val="005B3269"/>
    <w:rsid w:val="005B6ED0"/>
    <w:rsid w:val="005C004A"/>
    <w:rsid w:val="005C32BA"/>
    <w:rsid w:val="005C782F"/>
    <w:rsid w:val="005C7E5E"/>
    <w:rsid w:val="005D1AC5"/>
    <w:rsid w:val="005D2A28"/>
    <w:rsid w:val="005D2F92"/>
    <w:rsid w:val="005D3381"/>
    <w:rsid w:val="005D3869"/>
    <w:rsid w:val="005D47D6"/>
    <w:rsid w:val="005D4BC1"/>
    <w:rsid w:val="005D5E7A"/>
    <w:rsid w:val="005E0C96"/>
    <w:rsid w:val="005E1323"/>
    <w:rsid w:val="005E3CA7"/>
    <w:rsid w:val="005E7349"/>
    <w:rsid w:val="005F3D8F"/>
    <w:rsid w:val="005F46A6"/>
    <w:rsid w:val="005F4BF0"/>
    <w:rsid w:val="005F5C1D"/>
    <w:rsid w:val="005F6792"/>
    <w:rsid w:val="005F68AD"/>
    <w:rsid w:val="005F69B1"/>
    <w:rsid w:val="005F6AE9"/>
    <w:rsid w:val="005F747C"/>
    <w:rsid w:val="00605D90"/>
    <w:rsid w:val="00610D94"/>
    <w:rsid w:val="00611CCC"/>
    <w:rsid w:val="00612607"/>
    <w:rsid w:val="00613CDF"/>
    <w:rsid w:val="00617506"/>
    <w:rsid w:val="00622F6C"/>
    <w:rsid w:val="006241E3"/>
    <w:rsid w:val="00626441"/>
    <w:rsid w:val="00626547"/>
    <w:rsid w:val="00626E94"/>
    <w:rsid w:val="006277F6"/>
    <w:rsid w:val="00632FC8"/>
    <w:rsid w:val="00640323"/>
    <w:rsid w:val="006405B1"/>
    <w:rsid w:val="00643C54"/>
    <w:rsid w:val="00645769"/>
    <w:rsid w:val="00646B3B"/>
    <w:rsid w:val="00650138"/>
    <w:rsid w:val="0065035B"/>
    <w:rsid w:val="006504B7"/>
    <w:rsid w:val="00653010"/>
    <w:rsid w:val="00655EAF"/>
    <w:rsid w:val="00660FC5"/>
    <w:rsid w:val="00664A46"/>
    <w:rsid w:val="0066543A"/>
    <w:rsid w:val="00665E11"/>
    <w:rsid w:val="00666C29"/>
    <w:rsid w:val="0067029B"/>
    <w:rsid w:val="0067049B"/>
    <w:rsid w:val="006716C1"/>
    <w:rsid w:val="00672597"/>
    <w:rsid w:val="006732F9"/>
    <w:rsid w:val="00674294"/>
    <w:rsid w:val="00674EB5"/>
    <w:rsid w:val="00676EA4"/>
    <w:rsid w:val="006810AA"/>
    <w:rsid w:val="00681467"/>
    <w:rsid w:val="00681858"/>
    <w:rsid w:val="00681861"/>
    <w:rsid w:val="00682EED"/>
    <w:rsid w:val="00687545"/>
    <w:rsid w:val="00687B87"/>
    <w:rsid w:val="0069031A"/>
    <w:rsid w:val="00690A5B"/>
    <w:rsid w:val="00690DCB"/>
    <w:rsid w:val="00694626"/>
    <w:rsid w:val="00694E4C"/>
    <w:rsid w:val="0069556B"/>
    <w:rsid w:val="0069562C"/>
    <w:rsid w:val="006956E0"/>
    <w:rsid w:val="006958E7"/>
    <w:rsid w:val="006963A2"/>
    <w:rsid w:val="00696BD8"/>
    <w:rsid w:val="006A158B"/>
    <w:rsid w:val="006A1FFC"/>
    <w:rsid w:val="006A2A97"/>
    <w:rsid w:val="006A57FC"/>
    <w:rsid w:val="006A6229"/>
    <w:rsid w:val="006A65A1"/>
    <w:rsid w:val="006B1448"/>
    <w:rsid w:val="006B58B0"/>
    <w:rsid w:val="006B6D60"/>
    <w:rsid w:val="006C09DE"/>
    <w:rsid w:val="006C115E"/>
    <w:rsid w:val="006C1E00"/>
    <w:rsid w:val="006C247B"/>
    <w:rsid w:val="006C415B"/>
    <w:rsid w:val="006C4A2C"/>
    <w:rsid w:val="006D533C"/>
    <w:rsid w:val="006D74E1"/>
    <w:rsid w:val="006E2C60"/>
    <w:rsid w:val="006E385B"/>
    <w:rsid w:val="006E5013"/>
    <w:rsid w:val="006E5536"/>
    <w:rsid w:val="006F4984"/>
    <w:rsid w:val="006F707B"/>
    <w:rsid w:val="00700BED"/>
    <w:rsid w:val="00700F95"/>
    <w:rsid w:val="00702288"/>
    <w:rsid w:val="00704C5E"/>
    <w:rsid w:val="00707A7E"/>
    <w:rsid w:val="00707C9E"/>
    <w:rsid w:val="0071173C"/>
    <w:rsid w:val="0071348F"/>
    <w:rsid w:val="0071726D"/>
    <w:rsid w:val="00720920"/>
    <w:rsid w:val="00721A23"/>
    <w:rsid w:val="00722E46"/>
    <w:rsid w:val="0072316C"/>
    <w:rsid w:val="007236D5"/>
    <w:rsid w:val="00725E7F"/>
    <w:rsid w:val="00726140"/>
    <w:rsid w:val="00730776"/>
    <w:rsid w:val="00731138"/>
    <w:rsid w:val="00734F57"/>
    <w:rsid w:val="00735B1F"/>
    <w:rsid w:val="00736E59"/>
    <w:rsid w:val="007403EE"/>
    <w:rsid w:val="00740D15"/>
    <w:rsid w:val="00741396"/>
    <w:rsid w:val="007414E3"/>
    <w:rsid w:val="00745604"/>
    <w:rsid w:val="00746DFD"/>
    <w:rsid w:val="007472CF"/>
    <w:rsid w:val="00750239"/>
    <w:rsid w:val="00751CE0"/>
    <w:rsid w:val="00752A39"/>
    <w:rsid w:val="00752CA7"/>
    <w:rsid w:val="00752E97"/>
    <w:rsid w:val="007537AB"/>
    <w:rsid w:val="0075397C"/>
    <w:rsid w:val="00755CA7"/>
    <w:rsid w:val="00762DA0"/>
    <w:rsid w:val="00764FE5"/>
    <w:rsid w:val="0076560A"/>
    <w:rsid w:val="0076610C"/>
    <w:rsid w:val="007670C5"/>
    <w:rsid w:val="00767274"/>
    <w:rsid w:val="00771425"/>
    <w:rsid w:val="007733BD"/>
    <w:rsid w:val="00773ACC"/>
    <w:rsid w:val="007749A9"/>
    <w:rsid w:val="00774CB3"/>
    <w:rsid w:val="00775682"/>
    <w:rsid w:val="0077597C"/>
    <w:rsid w:val="00776CA4"/>
    <w:rsid w:val="007804CE"/>
    <w:rsid w:val="00780B0E"/>
    <w:rsid w:val="00782BF0"/>
    <w:rsid w:val="00785C23"/>
    <w:rsid w:val="007871FA"/>
    <w:rsid w:val="00793E09"/>
    <w:rsid w:val="00794CFC"/>
    <w:rsid w:val="00795C34"/>
    <w:rsid w:val="00796C84"/>
    <w:rsid w:val="007A0709"/>
    <w:rsid w:val="007A1941"/>
    <w:rsid w:val="007A6EBA"/>
    <w:rsid w:val="007A7E6E"/>
    <w:rsid w:val="007B2136"/>
    <w:rsid w:val="007B25C9"/>
    <w:rsid w:val="007B5197"/>
    <w:rsid w:val="007C2EB3"/>
    <w:rsid w:val="007C6ACC"/>
    <w:rsid w:val="007D0D11"/>
    <w:rsid w:val="007D1A9C"/>
    <w:rsid w:val="007D220C"/>
    <w:rsid w:val="007D222B"/>
    <w:rsid w:val="007D2A8E"/>
    <w:rsid w:val="007D37AB"/>
    <w:rsid w:val="007D6DEF"/>
    <w:rsid w:val="007D6E39"/>
    <w:rsid w:val="007E2E6F"/>
    <w:rsid w:val="007E6059"/>
    <w:rsid w:val="007F0EFE"/>
    <w:rsid w:val="007F2264"/>
    <w:rsid w:val="007F3F6D"/>
    <w:rsid w:val="007F5F70"/>
    <w:rsid w:val="007F76BF"/>
    <w:rsid w:val="0080333B"/>
    <w:rsid w:val="00804E71"/>
    <w:rsid w:val="008051EB"/>
    <w:rsid w:val="0080599D"/>
    <w:rsid w:val="00805D98"/>
    <w:rsid w:val="008115F3"/>
    <w:rsid w:val="00812B4E"/>
    <w:rsid w:val="00814D52"/>
    <w:rsid w:val="00815C18"/>
    <w:rsid w:val="00816C49"/>
    <w:rsid w:val="0081751E"/>
    <w:rsid w:val="00817BB0"/>
    <w:rsid w:val="00817FBA"/>
    <w:rsid w:val="00820A2C"/>
    <w:rsid w:val="00821E3E"/>
    <w:rsid w:val="008241A9"/>
    <w:rsid w:val="00825C8F"/>
    <w:rsid w:val="00832A28"/>
    <w:rsid w:val="008333E6"/>
    <w:rsid w:val="008347DA"/>
    <w:rsid w:val="00834B19"/>
    <w:rsid w:val="00835FA9"/>
    <w:rsid w:val="00837509"/>
    <w:rsid w:val="00841473"/>
    <w:rsid w:val="008416D9"/>
    <w:rsid w:val="00841A8E"/>
    <w:rsid w:val="0084331D"/>
    <w:rsid w:val="00843CF9"/>
    <w:rsid w:val="00844C54"/>
    <w:rsid w:val="00845B17"/>
    <w:rsid w:val="00847153"/>
    <w:rsid w:val="00851D58"/>
    <w:rsid w:val="008530A4"/>
    <w:rsid w:val="00854A10"/>
    <w:rsid w:val="00855725"/>
    <w:rsid w:val="008558AD"/>
    <w:rsid w:val="00860DBA"/>
    <w:rsid w:val="00860DEB"/>
    <w:rsid w:val="00865F52"/>
    <w:rsid w:val="0086686F"/>
    <w:rsid w:val="00867A53"/>
    <w:rsid w:val="0087392E"/>
    <w:rsid w:val="00873B9D"/>
    <w:rsid w:val="0088222E"/>
    <w:rsid w:val="00884463"/>
    <w:rsid w:val="008861AD"/>
    <w:rsid w:val="00895AF8"/>
    <w:rsid w:val="00895BAA"/>
    <w:rsid w:val="00897915"/>
    <w:rsid w:val="008A12E2"/>
    <w:rsid w:val="008A21E8"/>
    <w:rsid w:val="008A222D"/>
    <w:rsid w:val="008A4886"/>
    <w:rsid w:val="008A4A69"/>
    <w:rsid w:val="008A4D37"/>
    <w:rsid w:val="008A59E4"/>
    <w:rsid w:val="008A7437"/>
    <w:rsid w:val="008A7BE8"/>
    <w:rsid w:val="008A7BEA"/>
    <w:rsid w:val="008B1B4A"/>
    <w:rsid w:val="008B2197"/>
    <w:rsid w:val="008B2FD4"/>
    <w:rsid w:val="008B30EE"/>
    <w:rsid w:val="008B3866"/>
    <w:rsid w:val="008B497C"/>
    <w:rsid w:val="008B52F1"/>
    <w:rsid w:val="008B640D"/>
    <w:rsid w:val="008B6BEF"/>
    <w:rsid w:val="008C025D"/>
    <w:rsid w:val="008C14C6"/>
    <w:rsid w:val="008C1DC5"/>
    <w:rsid w:val="008C49C9"/>
    <w:rsid w:val="008C4A48"/>
    <w:rsid w:val="008C6A9D"/>
    <w:rsid w:val="008C7059"/>
    <w:rsid w:val="008D011E"/>
    <w:rsid w:val="008D3E0B"/>
    <w:rsid w:val="008D4550"/>
    <w:rsid w:val="008E16A8"/>
    <w:rsid w:val="008E5274"/>
    <w:rsid w:val="008E6848"/>
    <w:rsid w:val="008F000B"/>
    <w:rsid w:val="008F0BDF"/>
    <w:rsid w:val="008F26F7"/>
    <w:rsid w:val="008F5441"/>
    <w:rsid w:val="008F73AA"/>
    <w:rsid w:val="00906365"/>
    <w:rsid w:val="0090676A"/>
    <w:rsid w:val="00907977"/>
    <w:rsid w:val="00910C11"/>
    <w:rsid w:val="009123DC"/>
    <w:rsid w:val="00913BAD"/>
    <w:rsid w:val="00917E0B"/>
    <w:rsid w:val="00920BF0"/>
    <w:rsid w:val="0092140E"/>
    <w:rsid w:val="009218E9"/>
    <w:rsid w:val="00923E91"/>
    <w:rsid w:val="00927342"/>
    <w:rsid w:val="0092773B"/>
    <w:rsid w:val="00931E2B"/>
    <w:rsid w:val="00932CBE"/>
    <w:rsid w:val="00933E27"/>
    <w:rsid w:val="00934DCF"/>
    <w:rsid w:val="0093547E"/>
    <w:rsid w:val="00936A5E"/>
    <w:rsid w:val="00941251"/>
    <w:rsid w:val="0094500B"/>
    <w:rsid w:val="009479BE"/>
    <w:rsid w:val="00950E9A"/>
    <w:rsid w:val="009510A9"/>
    <w:rsid w:val="00951604"/>
    <w:rsid w:val="0095251B"/>
    <w:rsid w:val="00952B27"/>
    <w:rsid w:val="009547C3"/>
    <w:rsid w:val="00957874"/>
    <w:rsid w:val="0096009F"/>
    <w:rsid w:val="00960961"/>
    <w:rsid w:val="00961B5C"/>
    <w:rsid w:val="00962388"/>
    <w:rsid w:val="009628F7"/>
    <w:rsid w:val="009639A2"/>
    <w:rsid w:val="00963E1E"/>
    <w:rsid w:val="00964150"/>
    <w:rsid w:val="009674D8"/>
    <w:rsid w:val="00967B85"/>
    <w:rsid w:val="00971377"/>
    <w:rsid w:val="0097248F"/>
    <w:rsid w:val="00973510"/>
    <w:rsid w:val="00973DB8"/>
    <w:rsid w:val="00990FB5"/>
    <w:rsid w:val="00991D5A"/>
    <w:rsid w:val="009937A7"/>
    <w:rsid w:val="00993BFB"/>
    <w:rsid w:val="00993C97"/>
    <w:rsid w:val="00995D38"/>
    <w:rsid w:val="0099688C"/>
    <w:rsid w:val="009A2CFF"/>
    <w:rsid w:val="009A31A3"/>
    <w:rsid w:val="009A74EF"/>
    <w:rsid w:val="009B0D0D"/>
    <w:rsid w:val="009B30E0"/>
    <w:rsid w:val="009B622F"/>
    <w:rsid w:val="009B63CE"/>
    <w:rsid w:val="009B6AF7"/>
    <w:rsid w:val="009C0348"/>
    <w:rsid w:val="009C460A"/>
    <w:rsid w:val="009C62D0"/>
    <w:rsid w:val="009C6C97"/>
    <w:rsid w:val="009C7141"/>
    <w:rsid w:val="009D4678"/>
    <w:rsid w:val="009D5CFC"/>
    <w:rsid w:val="009D6284"/>
    <w:rsid w:val="009D7A57"/>
    <w:rsid w:val="009E3F90"/>
    <w:rsid w:val="009E4FFC"/>
    <w:rsid w:val="009E50F0"/>
    <w:rsid w:val="009E5F7D"/>
    <w:rsid w:val="009E72FD"/>
    <w:rsid w:val="009F4785"/>
    <w:rsid w:val="009F5E94"/>
    <w:rsid w:val="009F7CB7"/>
    <w:rsid w:val="00A00525"/>
    <w:rsid w:val="00A02F27"/>
    <w:rsid w:val="00A035FF"/>
    <w:rsid w:val="00A03C1D"/>
    <w:rsid w:val="00A05888"/>
    <w:rsid w:val="00A06140"/>
    <w:rsid w:val="00A07F01"/>
    <w:rsid w:val="00A07F46"/>
    <w:rsid w:val="00A10DC1"/>
    <w:rsid w:val="00A11C1E"/>
    <w:rsid w:val="00A1321D"/>
    <w:rsid w:val="00A1462B"/>
    <w:rsid w:val="00A173ED"/>
    <w:rsid w:val="00A17C7D"/>
    <w:rsid w:val="00A20910"/>
    <w:rsid w:val="00A241B1"/>
    <w:rsid w:val="00A2473C"/>
    <w:rsid w:val="00A24B26"/>
    <w:rsid w:val="00A25435"/>
    <w:rsid w:val="00A33863"/>
    <w:rsid w:val="00A34335"/>
    <w:rsid w:val="00A34914"/>
    <w:rsid w:val="00A34C42"/>
    <w:rsid w:val="00A35835"/>
    <w:rsid w:val="00A35CDE"/>
    <w:rsid w:val="00A368CB"/>
    <w:rsid w:val="00A415B4"/>
    <w:rsid w:val="00A422E2"/>
    <w:rsid w:val="00A43620"/>
    <w:rsid w:val="00A44AD1"/>
    <w:rsid w:val="00A471C0"/>
    <w:rsid w:val="00A479BB"/>
    <w:rsid w:val="00A47A2F"/>
    <w:rsid w:val="00A537DB"/>
    <w:rsid w:val="00A54B1B"/>
    <w:rsid w:val="00A55149"/>
    <w:rsid w:val="00A551C1"/>
    <w:rsid w:val="00A604DB"/>
    <w:rsid w:val="00A606A3"/>
    <w:rsid w:val="00A622EF"/>
    <w:rsid w:val="00A655B7"/>
    <w:rsid w:val="00A66107"/>
    <w:rsid w:val="00A67B44"/>
    <w:rsid w:val="00A70517"/>
    <w:rsid w:val="00A70C92"/>
    <w:rsid w:val="00A74968"/>
    <w:rsid w:val="00A7743A"/>
    <w:rsid w:val="00A82B85"/>
    <w:rsid w:val="00A82E24"/>
    <w:rsid w:val="00A83E7E"/>
    <w:rsid w:val="00A8688C"/>
    <w:rsid w:val="00A87F46"/>
    <w:rsid w:val="00A9197E"/>
    <w:rsid w:val="00A9265A"/>
    <w:rsid w:val="00A92E00"/>
    <w:rsid w:val="00A936DA"/>
    <w:rsid w:val="00A94424"/>
    <w:rsid w:val="00A95237"/>
    <w:rsid w:val="00A96B72"/>
    <w:rsid w:val="00AA08FF"/>
    <w:rsid w:val="00AA13A3"/>
    <w:rsid w:val="00AA1C33"/>
    <w:rsid w:val="00AA1DD5"/>
    <w:rsid w:val="00AA2206"/>
    <w:rsid w:val="00AA36E1"/>
    <w:rsid w:val="00AA5ACE"/>
    <w:rsid w:val="00AA5B13"/>
    <w:rsid w:val="00AB4B7F"/>
    <w:rsid w:val="00AB6B83"/>
    <w:rsid w:val="00AC33F5"/>
    <w:rsid w:val="00AC50C8"/>
    <w:rsid w:val="00AC55EA"/>
    <w:rsid w:val="00AC628A"/>
    <w:rsid w:val="00AC7695"/>
    <w:rsid w:val="00AD0BF6"/>
    <w:rsid w:val="00AD2E9A"/>
    <w:rsid w:val="00AD6D00"/>
    <w:rsid w:val="00AE1A75"/>
    <w:rsid w:val="00AE1E63"/>
    <w:rsid w:val="00AE2509"/>
    <w:rsid w:val="00AE25F4"/>
    <w:rsid w:val="00AE4798"/>
    <w:rsid w:val="00AE53C1"/>
    <w:rsid w:val="00AE5C45"/>
    <w:rsid w:val="00AE738B"/>
    <w:rsid w:val="00AE7766"/>
    <w:rsid w:val="00AE7CF6"/>
    <w:rsid w:val="00AF1764"/>
    <w:rsid w:val="00AF20ED"/>
    <w:rsid w:val="00AF2E5E"/>
    <w:rsid w:val="00AF44AC"/>
    <w:rsid w:val="00B00EB6"/>
    <w:rsid w:val="00B01E68"/>
    <w:rsid w:val="00B026DD"/>
    <w:rsid w:val="00B02FE5"/>
    <w:rsid w:val="00B10BB9"/>
    <w:rsid w:val="00B11BEC"/>
    <w:rsid w:val="00B12353"/>
    <w:rsid w:val="00B125C4"/>
    <w:rsid w:val="00B13A8A"/>
    <w:rsid w:val="00B152EA"/>
    <w:rsid w:val="00B156E5"/>
    <w:rsid w:val="00B1694B"/>
    <w:rsid w:val="00B21614"/>
    <w:rsid w:val="00B2414F"/>
    <w:rsid w:val="00B2421F"/>
    <w:rsid w:val="00B24F79"/>
    <w:rsid w:val="00B25C8E"/>
    <w:rsid w:val="00B265A3"/>
    <w:rsid w:val="00B27BC8"/>
    <w:rsid w:val="00B30844"/>
    <w:rsid w:val="00B314D0"/>
    <w:rsid w:val="00B330F5"/>
    <w:rsid w:val="00B33B88"/>
    <w:rsid w:val="00B343FA"/>
    <w:rsid w:val="00B34EBB"/>
    <w:rsid w:val="00B37205"/>
    <w:rsid w:val="00B40E85"/>
    <w:rsid w:val="00B41146"/>
    <w:rsid w:val="00B41FE2"/>
    <w:rsid w:val="00B420E4"/>
    <w:rsid w:val="00B42EFF"/>
    <w:rsid w:val="00B43E32"/>
    <w:rsid w:val="00B457C5"/>
    <w:rsid w:val="00B51A2B"/>
    <w:rsid w:val="00B51B7C"/>
    <w:rsid w:val="00B51C6B"/>
    <w:rsid w:val="00B53501"/>
    <w:rsid w:val="00B53AD2"/>
    <w:rsid w:val="00B5485C"/>
    <w:rsid w:val="00B54C58"/>
    <w:rsid w:val="00B5642B"/>
    <w:rsid w:val="00B57F4E"/>
    <w:rsid w:val="00B67D22"/>
    <w:rsid w:val="00B7042C"/>
    <w:rsid w:val="00B71A2F"/>
    <w:rsid w:val="00B73A30"/>
    <w:rsid w:val="00B753B9"/>
    <w:rsid w:val="00B75DA1"/>
    <w:rsid w:val="00B7693B"/>
    <w:rsid w:val="00B77DF1"/>
    <w:rsid w:val="00B803C4"/>
    <w:rsid w:val="00B80F96"/>
    <w:rsid w:val="00B81209"/>
    <w:rsid w:val="00B85DE4"/>
    <w:rsid w:val="00B90422"/>
    <w:rsid w:val="00B92355"/>
    <w:rsid w:val="00B93DD1"/>
    <w:rsid w:val="00B94232"/>
    <w:rsid w:val="00B95E6B"/>
    <w:rsid w:val="00B97DF2"/>
    <w:rsid w:val="00BA03BE"/>
    <w:rsid w:val="00BA12AE"/>
    <w:rsid w:val="00BA1891"/>
    <w:rsid w:val="00BA2DC5"/>
    <w:rsid w:val="00BA38BF"/>
    <w:rsid w:val="00BA3C54"/>
    <w:rsid w:val="00BA40D0"/>
    <w:rsid w:val="00BB0BE2"/>
    <w:rsid w:val="00BB2284"/>
    <w:rsid w:val="00BB2A8E"/>
    <w:rsid w:val="00BB30F8"/>
    <w:rsid w:val="00BB4F4B"/>
    <w:rsid w:val="00BB59DE"/>
    <w:rsid w:val="00BB5F97"/>
    <w:rsid w:val="00BB6C79"/>
    <w:rsid w:val="00BC1A27"/>
    <w:rsid w:val="00BC1AEE"/>
    <w:rsid w:val="00BC6934"/>
    <w:rsid w:val="00BC7443"/>
    <w:rsid w:val="00BD1EFF"/>
    <w:rsid w:val="00BD28BD"/>
    <w:rsid w:val="00BD5A7C"/>
    <w:rsid w:val="00BD7D1B"/>
    <w:rsid w:val="00BE0C67"/>
    <w:rsid w:val="00BE23E0"/>
    <w:rsid w:val="00BE2EDC"/>
    <w:rsid w:val="00BE523D"/>
    <w:rsid w:val="00BE57CD"/>
    <w:rsid w:val="00BE6128"/>
    <w:rsid w:val="00BE69A1"/>
    <w:rsid w:val="00BE7178"/>
    <w:rsid w:val="00BE7983"/>
    <w:rsid w:val="00BF0F1E"/>
    <w:rsid w:val="00BF53C0"/>
    <w:rsid w:val="00BF73C6"/>
    <w:rsid w:val="00BF7747"/>
    <w:rsid w:val="00BF77BD"/>
    <w:rsid w:val="00C004EC"/>
    <w:rsid w:val="00C015B8"/>
    <w:rsid w:val="00C0260D"/>
    <w:rsid w:val="00C050BC"/>
    <w:rsid w:val="00C05A45"/>
    <w:rsid w:val="00C063AB"/>
    <w:rsid w:val="00C066CC"/>
    <w:rsid w:val="00C10A83"/>
    <w:rsid w:val="00C11B11"/>
    <w:rsid w:val="00C11F22"/>
    <w:rsid w:val="00C12FED"/>
    <w:rsid w:val="00C1353D"/>
    <w:rsid w:val="00C15151"/>
    <w:rsid w:val="00C157EF"/>
    <w:rsid w:val="00C16919"/>
    <w:rsid w:val="00C17EEE"/>
    <w:rsid w:val="00C20B66"/>
    <w:rsid w:val="00C224DA"/>
    <w:rsid w:val="00C25584"/>
    <w:rsid w:val="00C255F8"/>
    <w:rsid w:val="00C30CFF"/>
    <w:rsid w:val="00C339AD"/>
    <w:rsid w:val="00C41B14"/>
    <w:rsid w:val="00C41B35"/>
    <w:rsid w:val="00C42236"/>
    <w:rsid w:val="00C445CC"/>
    <w:rsid w:val="00C44806"/>
    <w:rsid w:val="00C45B0A"/>
    <w:rsid w:val="00C46B40"/>
    <w:rsid w:val="00C46CE5"/>
    <w:rsid w:val="00C479DC"/>
    <w:rsid w:val="00C50686"/>
    <w:rsid w:val="00C55D3E"/>
    <w:rsid w:val="00C6126B"/>
    <w:rsid w:val="00C61C52"/>
    <w:rsid w:val="00C62000"/>
    <w:rsid w:val="00C62385"/>
    <w:rsid w:val="00C63D27"/>
    <w:rsid w:val="00C653C4"/>
    <w:rsid w:val="00C65573"/>
    <w:rsid w:val="00C66A40"/>
    <w:rsid w:val="00C66C54"/>
    <w:rsid w:val="00C70709"/>
    <w:rsid w:val="00C71467"/>
    <w:rsid w:val="00C71F9C"/>
    <w:rsid w:val="00C7280A"/>
    <w:rsid w:val="00C72FD5"/>
    <w:rsid w:val="00C74D51"/>
    <w:rsid w:val="00C74F64"/>
    <w:rsid w:val="00C819B3"/>
    <w:rsid w:val="00C82CF3"/>
    <w:rsid w:val="00C82D48"/>
    <w:rsid w:val="00C835AC"/>
    <w:rsid w:val="00C83F52"/>
    <w:rsid w:val="00C84479"/>
    <w:rsid w:val="00C852EA"/>
    <w:rsid w:val="00C86BA6"/>
    <w:rsid w:val="00C90BD0"/>
    <w:rsid w:val="00C9421F"/>
    <w:rsid w:val="00C9569C"/>
    <w:rsid w:val="00C95E9E"/>
    <w:rsid w:val="00CA05B0"/>
    <w:rsid w:val="00CA1D7A"/>
    <w:rsid w:val="00CA2AF5"/>
    <w:rsid w:val="00CA3633"/>
    <w:rsid w:val="00CA3BB6"/>
    <w:rsid w:val="00CA7137"/>
    <w:rsid w:val="00CB09B0"/>
    <w:rsid w:val="00CB0D82"/>
    <w:rsid w:val="00CB0E1E"/>
    <w:rsid w:val="00CB3118"/>
    <w:rsid w:val="00CB33D2"/>
    <w:rsid w:val="00CB6C0F"/>
    <w:rsid w:val="00CB735A"/>
    <w:rsid w:val="00CC203D"/>
    <w:rsid w:val="00CC21D4"/>
    <w:rsid w:val="00CC2FCB"/>
    <w:rsid w:val="00CC410B"/>
    <w:rsid w:val="00CC4AB6"/>
    <w:rsid w:val="00CC675D"/>
    <w:rsid w:val="00CC6DD9"/>
    <w:rsid w:val="00CD0476"/>
    <w:rsid w:val="00CD10FD"/>
    <w:rsid w:val="00CD2281"/>
    <w:rsid w:val="00CD2FB2"/>
    <w:rsid w:val="00CD301A"/>
    <w:rsid w:val="00CD47DA"/>
    <w:rsid w:val="00CD5878"/>
    <w:rsid w:val="00CD6A7E"/>
    <w:rsid w:val="00CE0089"/>
    <w:rsid w:val="00CE1D84"/>
    <w:rsid w:val="00CE3116"/>
    <w:rsid w:val="00CE34C9"/>
    <w:rsid w:val="00CE490B"/>
    <w:rsid w:val="00CE70EA"/>
    <w:rsid w:val="00CF054C"/>
    <w:rsid w:val="00CF09E4"/>
    <w:rsid w:val="00CF1630"/>
    <w:rsid w:val="00CF1DB1"/>
    <w:rsid w:val="00CF5A3E"/>
    <w:rsid w:val="00CF5C83"/>
    <w:rsid w:val="00CF6111"/>
    <w:rsid w:val="00CF6401"/>
    <w:rsid w:val="00CF75F4"/>
    <w:rsid w:val="00D00DDE"/>
    <w:rsid w:val="00D025A1"/>
    <w:rsid w:val="00D02FD6"/>
    <w:rsid w:val="00D04088"/>
    <w:rsid w:val="00D04255"/>
    <w:rsid w:val="00D04C47"/>
    <w:rsid w:val="00D05AB0"/>
    <w:rsid w:val="00D05B99"/>
    <w:rsid w:val="00D14E35"/>
    <w:rsid w:val="00D21083"/>
    <w:rsid w:val="00D246B8"/>
    <w:rsid w:val="00D24DD5"/>
    <w:rsid w:val="00D25015"/>
    <w:rsid w:val="00D273B4"/>
    <w:rsid w:val="00D3212A"/>
    <w:rsid w:val="00D32D3A"/>
    <w:rsid w:val="00D343F5"/>
    <w:rsid w:val="00D364C7"/>
    <w:rsid w:val="00D3735B"/>
    <w:rsid w:val="00D40C5F"/>
    <w:rsid w:val="00D427C9"/>
    <w:rsid w:val="00D42D3C"/>
    <w:rsid w:val="00D43F0C"/>
    <w:rsid w:val="00D46018"/>
    <w:rsid w:val="00D46436"/>
    <w:rsid w:val="00D464F3"/>
    <w:rsid w:val="00D47D35"/>
    <w:rsid w:val="00D512E6"/>
    <w:rsid w:val="00D52568"/>
    <w:rsid w:val="00D52DDA"/>
    <w:rsid w:val="00D5304F"/>
    <w:rsid w:val="00D53D77"/>
    <w:rsid w:val="00D55B60"/>
    <w:rsid w:val="00D56A45"/>
    <w:rsid w:val="00D57045"/>
    <w:rsid w:val="00D57588"/>
    <w:rsid w:val="00D57F54"/>
    <w:rsid w:val="00D658E1"/>
    <w:rsid w:val="00D659EC"/>
    <w:rsid w:val="00D66125"/>
    <w:rsid w:val="00D67428"/>
    <w:rsid w:val="00D7035A"/>
    <w:rsid w:val="00D705D1"/>
    <w:rsid w:val="00D7137D"/>
    <w:rsid w:val="00D714D2"/>
    <w:rsid w:val="00D73829"/>
    <w:rsid w:val="00D80244"/>
    <w:rsid w:val="00D87505"/>
    <w:rsid w:val="00D90BE3"/>
    <w:rsid w:val="00D90D45"/>
    <w:rsid w:val="00D914C3"/>
    <w:rsid w:val="00D92222"/>
    <w:rsid w:val="00D92863"/>
    <w:rsid w:val="00D94D9C"/>
    <w:rsid w:val="00D96616"/>
    <w:rsid w:val="00D9682F"/>
    <w:rsid w:val="00D96D83"/>
    <w:rsid w:val="00D979A8"/>
    <w:rsid w:val="00DA1D46"/>
    <w:rsid w:val="00DA2374"/>
    <w:rsid w:val="00DA275A"/>
    <w:rsid w:val="00DA3520"/>
    <w:rsid w:val="00DA405D"/>
    <w:rsid w:val="00DA498E"/>
    <w:rsid w:val="00DA5BB9"/>
    <w:rsid w:val="00DA5E8F"/>
    <w:rsid w:val="00DA7859"/>
    <w:rsid w:val="00DA7A22"/>
    <w:rsid w:val="00DB17B6"/>
    <w:rsid w:val="00DB1AC1"/>
    <w:rsid w:val="00DB3223"/>
    <w:rsid w:val="00DB48FA"/>
    <w:rsid w:val="00DB69DA"/>
    <w:rsid w:val="00DC1303"/>
    <w:rsid w:val="00DC2B56"/>
    <w:rsid w:val="00DC5D74"/>
    <w:rsid w:val="00DC6789"/>
    <w:rsid w:val="00DD1C2C"/>
    <w:rsid w:val="00DD7257"/>
    <w:rsid w:val="00DE065E"/>
    <w:rsid w:val="00DE0EBC"/>
    <w:rsid w:val="00DE1197"/>
    <w:rsid w:val="00DE501C"/>
    <w:rsid w:val="00DE5CA1"/>
    <w:rsid w:val="00DE6FD0"/>
    <w:rsid w:val="00DE772E"/>
    <w:rsid w:val="00DE778B"/>
    <w:rsid w:val="00DF1E91"/>
    <w:rsid w:val="00DF2BAC"/>
    <w:rsid w:val="00DF4996"/>
    <w:rsid w:val="00DF5D79"/>
    <w:rsid w:val="00DF7C45"/>
    <w:rsid w:val="00E00436"/>
    <w:rsid w:val="00E00CF6"/>
    <w:rsid w:val="00E00E1F"/>
    <w:rsid w:val="00E03809"/>
    <w:rsid w:val="00E05A72"/>
    <w:rsid w:val="00E070CA"/>
    <w:rsid w:val="00E079B8"/>
    <w:rsid w:val="00E07A29"/>
    <w:rsid w:val="00E110C0"/>
    <w:rsid w:val="00E12385"/>
    <w:rsid w:val="00E1301C"/>
    <w:rsid w:val="00E1346D"/>
    <w:rsid w:val="00E14D56"/>
    <w:rsid w:val="00E1683E"/>
    <w:rsid w:val="00E2209B"/>
    <w:rsid w:val="00E22726"/>
    <w:rsid w:val="00E2425C"/>
    <w:rsid w:val="00E276C9"/>
    <w:rsid w:val="00E3091C"/>
    <w:rsid w:val="00E30DDD"/>
    <w:rsid w:val="00E3179D"/>
    <w:rsid w:val="00E3297E"/>
    <w:rsid w:val="00E37E7F"/>
    <w:rsid w:val="00E40CF4"/>
    <w:rsid w:val="00E418A9"/>
    <w:rsid w:val="00E42709"/>
    <w:rsid w:val="00E43410"/>
    <w:rsid w:val="00E4341C"/>
    <w:rsid w:val="00E44960"/>
    <w:rsid w:val="00E44993"/>
    <w:rsid w:val="00E44A9A"/>
    <w:rsid w:val="00E45421"/>
    <w:rsid w:val="00E45A75"/>
    <w:rsid w:val="00E46D07"/>
    <w:rsid w:val="00E501A3"/>
    <w:rsid w:val="00E50C64"/>
    <w:rsid w:val="00E5169C"/>
    <w:rsid w:val="00E52DF3"/>
    <w:rsid w:val="00E65F35"/>
    <w:rsid w:val="00E7092D"/>
    <w:rsid w:val="00E7098A"/>
    <w:rsid w:val="00E71EC5"/>
    <w:rsid w:val="00E7214B"/>
    <w:rsid w:val="00E72C8C"/>
    <w:rsid w:val="00E73533"/>
    <w:rsid w:val="00E75535"/>
    <w:rsid w:val="00E76C57"/>
    <w:rsid w:val="00E77248"/>
    <w:rsid w:val="00E80351"/>
    <w:rsid w:val="00E804D3"/>
    <w:rsid w:val="00E80630"/>
    <w:rsid w:val="00E81BD7"/>
    <w:rsid w:val="00E84141"/>
    <w:rsid w:val="00E85B9B"/>
    <w:rsid w:val="00E92A6A"/>
    <w:rsid w:val="00E93F91"/>
    <w:rsid w:val="00E943D8"/>
    <w:rsid w:val="00E96482"/>
    <w:rsid w:val="00E96913"/>
    <w:rsid w:val="00E9720A"/>
    <w:rsid w:val="00E975CD"/>
    <w:rsid w:val="00EA0097"/>
    <w:rsid w:val="00EA5A43"/>
    <w:rsid w:val="00EA7320"/>
    <w:rsid w:val="00EB2121"/>
    <w:rsid w:val="00EB4618"/>
    <w:rsid w:val="00EB5002"/>
    <w:rsid w:val="00EB544E"/>
    <w:rsid w:val="00EB798B"/>
    <w:rsid w:val="00EC5F28"/>
    <w:rsid w:val="00EC6A97"/>
    <w:rsid w:val="00ED1042"/>
    <w:rsid w:val="00ED1AA4"/>
    <w:rsid w:val="00ED4C11"/>
    <w:rsid w:val="00ED5134"/>
    <w:rsid w:val="00ED58A9"/>
    <w:rsid w:val="00ED5E5E"/>
    <w:rsid w:val="00ED77EC"/>
    <w:rsid w:val="00EE1734"/>
    <w:rsid w:val="00EE3071"/>
    <w:rsid w:val="00EE32EE"/>
    <w:rsid w:val="00EE4CB4"/>
    <w:rsid w:val="00EE66A5"/>
    <w:rsid w:val="00EE77B1"/>
    <w:rsid w:val="00EF18BD"/>
    <w:rsid w:val="00EF1E4A"/>
    <w:rsid w:val="00EF27C8"/>
    <w:rsid w:val="00EF3E6E"/>
    <w:rsid w:val="00EF445F"/>
    <w:rsid w:val="00EF4DCC"/>
    <w:rsid w:val="00EF7AB5"/>
    <w:rsid w:val="00F00B80"/>
    <w:rsid w:val="00F01763"/>
    <w:rsid w:val="00F03E53"/>
    <w:rsid w:val="00F0415E"/>
    <w:rsid w:val="00F05275"/>
    <w:rsid w:val="00F10A96"/>
    <w:rsid w:val="00F10FB5"/>
    <w:rsid w:val="00F13A26"/>
    <w:rsid w:val="00F16D6A"/>
    <w:rsid w:val="00F209E5"/>
    <w:rsid w:val="00F21414"/>
    <w:rsid w:val="00F224D0"/>
    <w:rsid w:val="00F2279C"/>
    <w:rsid w:val="00F23F2C"/>
    <w:rsid w:val="00F26368"/>
    <w:rsid w:val="00F33F20"/>
    <w:rsid w:val="00F34A54"/>
    <w:rsid w:val="00F34FAE"/>
    <w:rsid w:val="00F35C28"/>
    <w:rsid w:val="00F37B14"/>
    <w:rsid w:val="00F37C45"/>
    <w:rsid w:val="00F4009A"/>
    <w:rsid w:val="00F40C6F"/>
    <w:rsid w:val="00F41171"/>
    <w:rsid w:val="00F4353A"/>
    <w:rsid w:val="00F4450A"/>
    <w:rsid w:val="00F44B44"/>
    <w:rsid w:val="00F45899"/>
    <w:rsid w:val="00F463B0"/>
    <w:rsid w:val="00F46C6A"/>
    <w:rsid w:val="00F46C71"/>
    <w:rsid w:val="00F479EC"/>
    <w:rsid w:val="00F501D4"/>
    <w:rsid w:val="00F51794"/>
    <w:rsid w:val="00F549D8"/>
    <w:rsid w:val="00F6296C"/>
    <w:rsid w:val="00F635F1"/>
    <w:rsid w:val="00F64B2C"/>
    <w:rsid w:val="00F66477"/>
    <w:rsid w:val="00F703F7"/>
    <w:rsid w:val="00F73EE6"/>
    <w:rsid w:val="00F74A8F"/>
    <w:rsid w:val="00F74CA3"/>
    <w:rsid w:val="00F7518C"/>
    <w:rsid w:val="00F811C9"/>
    <w:rsid w:val="00F817F8"/>
    <w:rsid w:val="00F82C06"/>
    <w:rsid w:val="00F83CE2"/>
    <w:rsid w:val="00F845E6"/>
    <w:rsid w:val="00F8635B"/>
    <w:rsid w:val="00F91F5A"/>
    <w:rsid w:val="00F920FB"/>
    <w:rsid w:val="00F96B7F"/>
    <w:rsid w:val="00F96B90"/>
    <w:rsid w:val="00FA26C9"/>
    <w:rsid w:val="00FA33C2"/>
    <w:rsid w:val="00FA45ED"/>
    <w:rsid w:val="00FA46D3"/>
    <w:rsid w:val="00FA5557"/>
    <w:rsid w:val="00FA6782"/>
    <w:rsid w:val="00FA6F49"/>
    <w:rsid w:val="00FB239E"/>
    <w:rsid w:val="00FB332B"/>
    <w:rsid w:val="00FB4DD9"/>
    <w:rsid w:val="00FC04B3"/>
    <w:rsid w:val="00FC0A70"/>
    <w:rsid w:val="00FC1433"/>
    <w:rsid w:val="00FC1E65"/>
    <w:rsid w:val="00FC52E3"/>
    <w:rsid w:val="00FD0188"/>
    <w:rsid w:val="00FD19B2"/>
    <w:rsid w:val="00FD4A3E"/>
    <w:rsid w:val="00FD6583"/>
    <w:rsid w:val="00FE0712"/>
    <w:rsid w:val="00FE1585"/>
    <w:rsid w:val="00FE27C6"/>
    <w:rsid w:val="00FE4DA4"/>
    <w:rsid w:val="00FE523B"/>
    <w:rsid w:val="00FE78D7"/>
    <w:rsid w:val="00FF0716"/>
    <w:rsid w:val="00FF0FBB"/>
    <w:rsid w:val="00FF2AC4"/>
    <w:rsid w:val="00FF40E4"/>
    <w:rsid w:val="00FF4563"/>
    <w:rsid w:val="00FF5F8F"/>
    <w:rsid w:val="00FF624D"/>
    <w:rsid w:val="00FF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9B3CB"/>
  <w15:docId w15:val="{F32704FC-903A-418B-9D50-73049C6F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782"/>
    <w:pPr>
      <w:widowControl w:val="0"/>
      <w:jc w:val="both"/>
    </w:pPr>
  </w:style>
  <w:style w:type="paragraph" w:styleId="3">
    <w:name w:val="heading 3"/>
    <w:basedOn w:val="a"/>
    <w:next w:val="a"/>
    <w:link w:val="30"/>
    <w:uiPriority w:val="9"/>
    <w:semiHidden/>
    <w:unhideWhenUsed/>
    <w:qFormat/>
    <w:rsid w:val="00270C1D"/>
    <w:pPr>
      <w:keepNext/>
      <w:keepLines/>
      <w:spacing w:before="260" w:after="260" w:line="416" w:lineRule="auto"/>
      <w:outlineLvl w:val="2"/>
    </w:pPr>
    <w:rPr>
      <w:b/>
      <w:bCs/>
      <w:kern w:val="0"/>
      <w:sz w:val="32"/>
      <w:szCs w:val="32"/>
      <w:lang w:eastAsia="en-US"/>
    </w:rPr>
  </w:style>
  <w:style w:type="paragraph" w:styleId="4">
    <w:name w:val="heading 4"/>
    <w:basedOn w:val="a"/>
    <w:next w:val="a"/>
    <w:link w:val="40"/>
    <w:uiPriority w:val="9"/>
    <w:semiHidden/>
    <w:unhideWhenUsed/>
    <w:qFormat/>
    <w:rsid w:val="00270C1D"/>
    <w:pPr>
      <w:keepNext/>
      <w:keepLines/>
      <w:spacing w:before="280" w:after="290" w:line="376" w:lineRule="auto"/>
      <w:outlineLvl w:val="3"/>
    </w:pPr>
    <w:rPr>
      <w:rFonts w:ascii="等线 Light" w:eastAsia="等线 Light" w:hAnsi="等线 Light" w:cs="Times New Roman"/>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9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6934"/>
    <w:rPr>
      <w:sz w:val="18"/>
      <w:szCs w:val="18"/>
    </w:rPr>
  </w:style>
  <w:style w:type="paragraph" w:styleId="a5">
    <w:name w:val="footer"/>
    <w:basedOn w:val="a"/>
    <w:link w:val="a6"/>
    <w:uiPriority w:val="99"/>
    <w:unhideWhenUsed/>
    <w:rsid w:val="00BC6934"/>
    <w:pPr>
      <w:tabs>
        <w:tab w:val="center" w:pos="4153"/>
        <w:tab w:val="right" w:pos="8306"/>
      </w:tabs>
      <w:snapToGrid w:val="0"/>
      <w:jc w:val="left"/>
    </w:pPr>
    <w:rPr>
      <w:sz w:val="18"/>
      <w:szCs w:val="18"/>
    </w:rPr>
  </w:style>
  <w:style w:type="character" w:customStyle="1" w:styleId="a6">
    <w:name w:val="页脚 字符"/>
    <w:basedOn w:val="a0"/>
    <w:link w:val="a5"/>
    <w:uiPriority w:val="99"/>
    <w:rsid w:val="00BC6934"/>
    <w:rPr>
      <w:sz w:val="18"/>
      <w:szCs w:val="18"/>
    </w:rPr>
  </w:style>
  <w:style w:type="paragraph" w:styleId="a7">
    <w:name w:val="Balloon Text"/>
    <w:basedOn w:val="a"/>
    <w:link w:val="a8"/>
    <w:uiPriority w:val="99"/>
    <w:semiHidden/>
    <w:unhideWhenUsed/>
    <w:rsid w:val="00734F57"/>
    <w:rPr>
      <w:sz w:val="18"/>
      <w:szCs w:val="18"/>
    </w:rPr>
  </w:style>
  <w:style w:type="character" w:customStyle="1" w:styleId="a8">
    <w:name w:val="批注框文本 字符"/>
    <w:basedOn w:val="a0"/>
    <w:link w:val="a7"/>
    <w:uiPriority w:val="99"/>
    <w:semiHidden/>
    <w:rsid w:val="00734F57"/>
    <w:rPr>
      <w:sz w:val="18"/>
      <w:szCs w:val="18"/>
    </w:rPr>
  </w:style>
  <w:style w:type="character" w:styleId="a9">
    <w:name w:val="annotation reference"/>
    <w:basedOn w:val="a0"/>
    <w:uiPriority w:val="99"/>
    <w:unhideWhenUsed/>
    <w:qFormat/>
    <w:rsid w:val="00704C5E"/>
    <w:rPr>
      <w:sz w:val="21"/>
      <w:szCs w:val="21"/>
    </w:rPr>
  </w:style>
  <w:style w:type="paragraph" w:styleId="aa">
    <w:name w:val="annotation text"/>
    <w:basedOn w:val="a"/>
    <w:link w:val="1"/>
    <w:uiPriority w:val="99"/>
    <w:unhideWhenUsed/>
    <w:qFormat/>
    <w:rsid w:val="00704C5E"/>
    <w:pPr>
      <w:jc w:val="left"/>
    </w:pPr>
  </w:style>
  <w:style w:type="character" w:customStyle="1" w:styleId="1">
    <w:name w:val="批注文字 字符1"/>
    <w:basedOn w:val="a0"/>
    <w:link w:val="aa"/>
    <w:uiPriority w:val="99"/>
    <w:rsid w:val="00704C5E"/>
  </w:style>
  <w:style w:type="paragraph" w:styleId="ab">
    <w:name w:val="annotation subject"/>
    <w:basedOn w:val="aa"/>
    <w:next w:val="aa"/>
    <w:link w:val="ac"/>
    <w:uiPriority w:val="99"/>
    <w:semiHidden/>
    <w:unhideWhenUsed/>
    <w:rsid w:val="00704C5E"/>
    <w:rPr>
      <w:b/>
      <w:bCs/>
    </w:rPr>
  </w:style>
  <w:style w:type="character" w:customStyle="1" w:styleId="ac">
    <w:name w:val="批注主题 字符"/>
    <w:basedOn w:val="1"/>
    <w:link w:val="ab"/>
    <w:uiPriority w:val="99"/>
    <w:semiHidden/>
    <w:rsid w:val="00704C5E"/>
    <w:rPr>
      <w:b/>
      <w:bCs/>
    </w:rPr>
  </w:style>
  <w:style w:type="paragraph" w:styleId="ad">
    <w:name w:val="List Paragraph"/>
    <w:basedOn w:val="a"/>
    <w:uiPriority w:val="99"/>
    <w:qFormat/>
    <w:rsid w:val="00626441"/>
    <w:pPr>
      <w:ind w:firstLineChars="200" w:firstLine="420"/>
    </w:pPr>
    <w:rPr>
      <w:rFonts w:ascii="Times New Roman" w:eastAsia="宋体" w:hAnsi="Times New Roman" w:cs="Times New Roman"/>
      <w:szCs w:val="24"/>
    </w:rPr>
  </w:style>
  <w:style w:type="table" w:styleId="ae">
    <w:name w:val="Table Grid"/>
    <w:basedOn w:val="a1"/>
    <w:uiPriority w:val="39"/>
    <w:rsid w:val="0062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A422E2"/>
  </w:style>
  <w:style w:type="paragraph" w:customStyle="1" w:styleId="31">
    <w:name w:val="标题 31"/>
    <w:basedOn w:val="a"/>
    <w:next w:val="a"/>
    <w:uiPriority w:val="9"/>
    <w:unhideWhenUsed/>
    <w:qFormat/>
    <w:rsid w:val="00270C1D"/>
    <w:pPr>
      <w:keepNext/>
      <w:keepLines/>
      <w:spacing w:before="260" w:after="260" w:line="416" w:lineRule="auto"/>
      <w:jc w:val="left"/>
      <w:outlineLvl w:val="2"/>
    </w:pPr>
    <w:rPr>
      <w:b/>
      <w:bCs/>
      <w:kern w:val="0"/>
      <w:sz w:val="32"/>
      <w:szCs w:val="32"/>
      <w:lang w:eastAsia="en-US"/>
    </w:rPr>
  </w:style>
  <w:style w:type="paragraph" w:customStyle="1" w:styleId="41">
    <w:name w:val="标题 41"/>
    <w:basedOn w:val="a"/>
    <w:next w:val="a"/>
    <w:uiPriority w:val="9"/>
    <w:unhideWhenUsed/>
    <w:qFormat/>
    <w:rsid w:val="00270C1D"/>
    <w:pPr>
      <w:keepNext/>
      <w:keepLines/>
      <w:spacing w:before="280" w:after="290" w:line="376" w:lineRule="auto"/>
      <w:jc w:val="left"/>
      <w:outlineLvl w:val="3"/>
    </w:pPr>
    <w:rPr>
      <w:rFonts w:ascii="等线 Light" w:eastAsia="等线 Light" w:hAnsi="等线 Light" w:cs="Times New Roman"/>
      <w:b/>
      <w:bCs/>
      <w:kern w:val="0"/>
      <w:sz w:val="28"/>
      <w:szCs w:val="28"/>
      <w:lang w:eastAsia="en-US"/>
    </w:rPr>
  </w:style>
  <w:style w:type="numbering" w:customStyle="1" w:styleId="10">
    <w:name w:val="无列表1"/>
    <w:next w:val="a2"/>
    <w:uiPriority w:val="99"/>
    <w:semiHidden/>
    <w:unhideWhenUsed/>
    <w:rsid w:val="00270C1D"/>
  </w:style>
  <w:style w:type="character" w:customStyle="1" w:styleId="30">
    <w:name w:val="标题 3 字符"/>
    <w:basedOn w:val="a0"/>
    <w:link w:val="3"/>
    <w:uiPriority w:val="9"/>
    <w:rsid w:val="00270C1D"/>
    <w:rPr>
      <w:b/>
      <w:bCs/>
      <w:kern w:val="0"/>
      <w:sz w:val="32"/>
      <w:szCs w:val="32"/>
      <w:lang w:eastAsia="en-US"/>
    </w:rPr>
  </w:style>
  <w:style w:type="character" w:customStyle="1" w:styleId="40">
    <w:name w:val="标题 4 字符"/>
    <w:basedOn w:val="a0"/>
    <w:link w:val="4"/>
    <w:uiPriority w:val="9"/>
    <w:rsid w:val="00270C1D"/>
    <w:rPr>
      <w:rFonts w:ascii="等线 Light" w:eastAsia="等线 Light" w:hAnsi="等线 Light" w:cs="Times New Roman"/>
      <w:b/>
      <w:bCs/>
      <w:kern w:val="0"/>
      <w:sz w:val="28"/>
      <w:szCs w:val="28"/>
      <w:lang w:eastAsia="en-US"/>
    </w:rPr>
  </w:style>
  <w:style w:type="paragraph" w:customStyle="1" w:styleId="11">
    <w:name w:val="批注文字1"/>
    <w:basedOn w:val="a"/>
    <w:next w:val="aa"/>
    <w:link w:val="af0"/>
    <w:uiPriority w:val="99"/>
    <w:unhideWhenUsed/>
    <w:qFormat/>
    <w:rsid w:val="00270C1D"/>
    <w:pPr>
      <w:jc w:val="left"/>
    </w:pPr>
  </w:style>
  <w:style w:type="character" w:customStyle="1" w:styleId="af0">
    <w:name w:val="批注文字 字符"/>
    <w:basedOn w:val="a0"/>
    <w:link w:val="11"/>
    <w:uiPriority w:val="99"/>
    <w:qFormat/>
    <w:rsid w:val="00270C1D"/>
  </w:style>
  <w:style w:type="table" w:customStyle="1" w:styleId="12">
    <w:name w:val="网格型1"/>
    <w:basedOn w:val="a1"/>
    <w:next w:val="ae"/>
    <w:uiPriority w:val="39"/>
    <w:rsid w:val="00270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next w:val="af1"/>
    <w:hidden/>
    <w:uiPriority w:val="99"/>
    <w:semiHidden/>
    <w:rsid w:val="00270C1D"/>
  </w:style>
  <w:style w:type="paragraph" w:customStyle="1" w:styleId="Default">
    <w:name w:val="Default"/>
    <w:rsid w:val="00270C1D"/>
    <w:pPr>
      <w:widowControl w:val="0"/>
      <w:autoSpaceDE w:val="0"/>
      <w:autoSpaceDN w:val="0"/>
      <w:adjustRightInd w:val="0"/>
    </w:pPr>
    <w:rPr>
      <w:rFonts w:ascii="宋体" w:eastAsia="宋体" w:cs="宋体"/>
      <w:color w:val="000000"/>
      <w:kern w:val="0"/>
      <w:sz w:val="24"/>
      <w:szCs w:val="24"/>
    </w:rPr>
  </w:style>
  <w:style w:type="paragraph" w:styleId="af2">
    <w:name w:val="Normal (Web)"/>
    <w:basedOn w:val="a"/>
    <w:uiPriority w:val="99"/>
    <w:qFormat/>
    <w:rsid w:val="00270C1D"/>
    <w:pPr>
      <w:spacing w:beforeAutospacing="1" w:afterAutospacing="1"/>
      <w:jc w:val="left"/>
    </w:pPr>
    <w:rPr>
      <w:rFonts w:ascii="Times New Roman" w:eastAsia="宋体" w:hAnsi="Times New Roman" w:cs="Times New Roman"/>
      <w:kern w:val="0"/>
      <w:sz w:val="24"/>
    </w:rPr>
  </w:style>
  <w:style w:type="numbering" w:customStyle="1" w:styleId="110">
    <w:name w:val="无列表11"/>
    <w:next w:val="a2"/>
    <w:uiPriority w:val="99"/>
    <w:semiHidden/>
    <w:unhideWhenUsed/>
    <w:rsid w:val="00270C1D"/>
  </w:style>
  <w:style w:type="paragraph" w:styleId="af3">
    <w:name w:val="Date"/>
    <w:basedOn w:val="a"/>
    <w:next w:val="a"/>
    <w:link w:val="af4"/>
    <w:uiPriority w:val="99"/>
    <w:semiHidden/>
    <w:unhideWhenUsed/>
    <w:rsid w:val="00270C1D"/>
    <w:pPr>
      <w:ind w:leftChars="2500" w:left="100"/>
    </w:pPr>
    <w:rPr>
      <w:rFonts w:ascii="Times New Roman" w:eastAsia="仿宋" w:hAnsi="Times New Roman" w:cs="Times New Roman"/>
      <w:sz w:val="32"/>
      <w:szCs w:val="24"/>
    </w:rPr>
  </w:style>
  <w:style w:type="character" w:customStyle="1" w:styleId="af4">
    <w:name w:val="日期 字符"/>
    <w:basedOn w:val="a0"/>
    <w:link w:val="af3"/>
    <w:uiPriority w:val="99"/>
    <w:semiHidden/>
    <w:rsid w:val="00270C1D"/>
    <w:rPr>
      <w:rFonts w:ascii="Times New Roman" w:eastAsia="仿宋" w:hAnsi="Times New Roman" w:cs="Times New Roman"/>
      <w:sz w:val="32"/>
      <w:szCs w:val="24"/>
    </w:rPr>
  </w:style>
  <w:style w:type="character" w:customStyle="1" w:styleId="3Char1">
    <w:name w:val="标题 3 Char1"/>
    <w:basedOn w:val="a0"/>
    <w:uiPriority w:val="9"/>
    <w:semiHidden/>
    <w:rsid w:val="00270C1D"/>
    <w:rPr>
      <w:b/>
      <w:bCs/>
      <w:sz w:val="32"/>
      <w:szCs w:val="32"/>
    </w:rPr>
  </w:style>
  <w:style w:type="character" w:customStyle="1" w:styleId="4Char1">
    <w:name w:val="标题 4 Char1"/>
    <w:basedOn w:val="a0"/>
    <w:uiPriority w:val="9"/>
    <w:semiHidden/>
    <w:rsid w:val="00270C1D"/>
    <w:rPr>
      <w:rFonts w:asciiTheme="majorHAnsi" w:eastAsiaTheme="majorEastAsia" w:hAnsiTheme="majorHAnsi" w:cstheme="majorBidi"/>
      <w:b/>
      <w:bCs/>
      <w:sz w:val="28"/>
      <w:szCs w:val="28"/>
    </w:rPr>
  </w:style>
  <w:style w:type="paragraph" w:styleId="af1">
    <w:name w:val="Revision"/>
    <w:hidden/>
    <w:uiPriority w:val="99"/>
    <w:semiHidden/>
    <w:rsid w:val="00270C1D"/>
  </w:style>
  <w:style w:type="table" w:customStyle="1" w:styleId="2">
    <w:name w:val="网格型2"/>
    <w:basedOn w:val="a1"/>
    <w:next w:val="ae"/>
    <w:qFormat/>
    <w:rsid w:val="0008101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e"/>
    <w:qFormat/>
    <w:rsid w:val="000546F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next w:val="ae"/>
    <w:uiPriority w:val="39"/>
    <w:rsid w:val="0045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e"/>
    <w:uiPriority w:val="59"/>
    <w:rsid w:val="00A6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e"/>
    <w:uiPriority w:val="59"/>
    <w:rsid w:val="00D7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e"/>
    <w:uiPriority w:val="59"/>
    <w:rsid w:val="00D7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e"/>
    <w:uiPriority w:val="59"/>
    <w:rsid w:val="00D7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e"/>
    <w:uiPriority w:val="59"/>
    <w:rsid w:val="00D7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e"/>
    <w:uiPriority w:val="59"/>
    <w:rsid w:val="002A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5Char">
    <w:name w:val="005正文 Char"/>
    <w:link w:val="005"/>
    <w:qFormat/>
    <w:rsid w:val="0004326B"/>
    <w:rPr>
      <w:rFonts w:ascii="Times New Roman" w:eastAsia="宋体" w:hAnsi="Times New Roman" w:cs="Times New Roman"/>
      <w:sz w:val="24"/>
    </w:rPr>
  </w:style>
  <w:style w:type="paragraph" w:customStyle="1" w:styleId="005">
    <w:name w:val="005正文"/>
    <w:basedOn w:val="a"/>
    <w:link w:val="005Char"/>
    <w:qFormat/>
    <w:rsid w:val="0004326B"/>
    <w:pPr>
      <w:spacing w:line="360" w:lineRule="auto"/>
      <w:ind w:firstLineChars="200" w:firstLine="200"/>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4553">
      <w:bodyDiv w:val="1"/>
      <w:marLeft w:val="0"/>
      <w:marRight w:val="0"/>
      <w:marTop w:val="0"/>
      <w:marBottom w:val="0"/>
      <w:divBdr>
        <w:top w:val="none" w:sz="0" w:space="0" w:color="auto"/>
        <w:left w:val="none" w:sz="0" w:space="0" w:color="auto"/>
        <w:bottom w:val="none" w:sz="0" w:space="0" w:color="auto"/>
        <w:right w:val="none" w:sz="0" w:space="0" w:color="auto"/>
      </w:divBdr>
    </w:div>
    <w:div w:id="154077360">
      <w:bodyDiv w:val="1"/>
      <w:marLeft w:val="0"/>
      <w:marRight w:val="0"/>
      <w:marTop w:val="0"/>
      <w:marBottom w:val="0"/>
      <w:divBdr>
        <w:top w:val="none" w:sz="0" w:space="0" w:color="auto"/>
        <w:left w:val="none" w:sz="0" w:space="0" w:color="auto"/>
        <w:bottom w:val="none" w:sz="0" w:space="0" w:color="auto"/>
        <w:right w:val="none" w:sz="0" w:space="0" w:color="auto"/>
      </w:divBdr>
      <w:divsChild>
        <w:div w:id="2084713396">
          <w:marLeft w:val="0"/>
          <w:marRight w:val="0"/>
          <w:marTop w:val="0"/>
          <w:marBottom w:val="0"/>
          <w:divBdr>
            <w:top w:val="none" w:sz="0" w:space="0" w:color="auto"/>
            <w:left w:val="none" w:sz="0" w:space="0" w:color="auto"/>
            <w:bottom w:val="none" w:sz="0" w:space="0" w:color="auto"/>
            <w:right w:val="none" w:sz="0" w:space="0" w:color="auto"/>
          </w:divBdr>
          <w:divsChild>
            <w:div w:id="11001036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82697998">
      <w:bodyDiv w:val="1"/>
      <w:marLeft w:val="0"/>
      <w:marRight w:val="0"/>
      <w:marTop w:val="0"/>
      <w:marBottom w:val="0"/>
      <w:divBdr>
        <w:top w:val="none" w:sz="0" w:space="0" w:color="auto"/>
        <w:left w:val="none" w:sz="0" w:space="0" w:color="auto"/>
        <w:bottom w:val="none" w:sz="0" w:space="0" w:color="auto"/>
        <w:right w:val="none" w:sz="0" w:space="0" w:color="auto"/>
      </w:divBdr>
      <w:divsChild>
        <w:div w:id="249050475">
          <w:marLeft w:val="0"/>
          <w:marRight w:val="0"/>
          <w:marTop w:val="0"/>
          <w:marBottom w:val="0"/>
          <w:divBdr>
            <w:top w:val="none" w:sz="0" w:space="0" w:color="auto"/>
            <w:left w:val="none" w:sz="0" w:space="0" w:color="auto"/>
            <w:bottom w:val="dashed" w:sz="6" w:space="8" w:color="DDDDDD"/>
            <w:right w:val="none" w:sz="0" w:space="0" w:color="auto"/>
          </w:divBdr>
          <w:divsChild>
            <w:div w:id="590352395">
              <w:marLeft w:val="0"/>
              <w:marRight w:val="0"/>
              <w:marTop w:val="0"/>
              <w:marBottom w:val="0"/>
              <w:divBdr>
                <w:top w:val="none" w:sz="0" w:space="0" w:color="auto"/>
                <w:left w:val="none" w:sz="0" w:space="0" w:color="auto"/>
                <w:bottom w:val="none" w:sz="0" w:space="0" w:color="auto"/>
                <w:right w:val="none" w:sz="0" w:space="0" w:color="auto"/>
              </w:divBdr>
            </w:div>
          </w:divsChild>
        </w:div>
        <w:div w:id="1183126210">
          <w:marLeft w:val="0"/>
          <w:marRight w:val="0"/>
          <w:marTop w:val="0"/>
          <w:marBottom w:val="0"/>
          <w:divBdr>
            <w:top w:val="none" w:sz="0" w:space="0" w:color="auto"/>
            <w:left w:val="none" w:sz="0" w:space="0" w:color="auto"/>
            <w:bottom w:val="dashed" w:sz="6" w:space="8" w:color="DDDDDD"/>
            <w:right w:val="none" w:sz="0" w:space="0" w:color="auto"/>
          </w:divBdr>
          <w:divsChild>
            <w:div w:id="17698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831">
      <w:bodyDiv w:val="1"/>
      <w:marLeft w:val="0"/>
      <w:marRight w:val="0"/>
      <w:marTop w:val="0"/>
      <w:marBottom w:val="0"/>
      <w:divBdr>
        <w:top w:val="none" w:sz="0" w:space="0" w:color="auto"/>
        <w:left w:val="none" w:sz="0" w:space="0" w:color="auto"/>
        <w:bottom w:val="none" w:sz="0" w:space="0" w:color="auto"/>
        <w:right w:val="none" w:sz="0" w:space="0" w:color="auto"/>
      </w:divBdr>
      <w:divsChild>
        <w:div w:id="1918050115">
          <w:marLeft w:val="0"/>
          <w:marRight w:val="0"/>
          <w:marTop w:val="0"/>
          <w:marBottom w:val="0"/>
          <w:divBdr>
            <w:top w:val="none" w:sz="0" w:space="0" w:color="auto"/>
            <w:left w:val="none" w:sz="0" w:space="0" w:color="auto"/>
            <w:bottom w:val="dashed" w:sz="6" w:space="8" w:color="DDDDDD"/>
            <w:right w:val="none" w:sz="0" w:space="0" w:color="auto"/>
          </w:divBdr>
          <w:divsChild>
            <w:div w:id="1140264227">
              <w:marLeft w:val="0"/>
              <w:marRight w:val="0"/>
              <w:marTop w:val="0"/>
              <w:marBottom w:val="0"/>
              <w:divBdr>
                <w:top w:val="none" w:sz="0" w:space="0" w:color="auto"/>
                <w:left w:val="none" w:sz="0" w:space="0" w:color="auto"/>
                <w:bottom w:val="none" w:sz="0" w:space="0" w:color="auto"/>
                <w:right w:val="none" w:sz="0" w:space="0" w:color="auto"/>
              </w:divBdr>
            </w:div>
          </w:divsChild>
        </w:div>
        <w:div w:id="1747342306">
          <w:marLeft w:val="0"/>
          <w:marRight w:val="0"/>
          <w:marTop w:val="0"/>
          <w:marBottom w:val="0"/>
          <w:divBdr>
            <w:top w:val="none" w:sz="0" w:space="0" w:color="auto"/>
            <w:left w:val="none" w:sz="0" w:space="0" w:color="auto"/>
            <w:bottom w:val="dashed" w:sz="6" w:space="8" w:color="DDDDDD"/>
            <w:right w:val="none" w:sz="0" w:space="0" w:color="auto"/>
          </w:divBdr>
          <w:divsChild>
            <w:div w:id="14210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040">
      <w:bodyDiv w:val="1"/>
      <w:marLeft w:val="0"/>
      <w:marRight w:val="0"/>
      <w:marTop w:val="0"/>
      <w:marBottom w:val="0"/>
      <w:divBdr>
        <w:top w:val="none" w:sz="0" w:space="0" w:color="auto"/>
        <w:left w:val="none" w:sz="0" w:space="0" w:color="auto"/>
        <w:bottom w:val="none" w:sz="0" w:space="0" w:color="auto"/>
        <w:right w:val="none" w:sz="0" w:space="0" w:color="auto"/>
      </w:divBdr>
      <w:divsChild>
        <w:div w:id="1583486105">
          <w:marLeft w:val="0"/>
          <w:marRight w:val="0"/>
          <w:marTop w:val="0"/>
          <w:marBottom w:val="0"/>
          <w:divBdr>
            <w:top w:val="none" w:sz="0" w:space="0" w:color="auto"/>
            <w:left w:val="none" w:sz="0" w:space="0" w:color="auto"/>
            <w:bottom w:val="none" w:sz="0" w:space="0" w:color="auto"/>
            <w:right w:val="none" w:sz="0" w:space="0" w:color="auto"/>
          </w:divBdr>
          <w:divsChild>
            <w:div w:id="20335269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21937232">
      <w:bodyDiv w:val="1"/>
      <w:marLeft w:val="0"/>
      <w:marRight w:val="0"/>
      <w:marTop w:val="0"/>
      <w:marBottom w:val="0"/>
      <w:divBdr>
        <w:top w:val="none" w:sz="0" w:space="0" w:color="auto"/>
        <w:left w:val="none" w:sz="0" w:space="0" w:color="auto"/>
        <w:bottom w:val="none" w:sz="0" w:space="0" w:color="auto"/>
        <w:right w:val="none" w:sz="0" w:space="0" w:color="auto"/>
      </w:divBdr>
    </w:div>
    <w:div w:id="1358384188">
      <w:bodyDiv w:val="1"/>
      <w:marLeft w:val="0"/>
      <w:marRight w:val="0"/>
      <w:marTop w:val="0"/>
      <w:marBottom w:val="0"/>
      <w:divBdr>
        <w:top w:val="none" w:sz="0" w:space="0" w:color="auto"/>
        <w:left w:val="none" w:sz="0" w:space="0" w:color="auto"/>
        <w:bottom w:val="none" w:sz="0" w:space="0" w:color="auto"/>
        <w:right w:val="none" w:sz="0" w:space="0" w:color="auto"/>
      </w:divBdr>
    </w:div>
    <w:div w:id="18211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3344</Words>
  <Characters>19066</Characters>
  <Application>Microsoft Office Word</Application>
  <DocSecurity>0</DocSecurity>
  <Lines>158</Lines>
  <Paragraphs>44</Paragraphs>
  <ScaleCrop>false</ScaleCrop>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宋泽林</cp:lastModifiedBy>
  <cp:revision>5</cp:revision>
  <cp:lastPrinted>2025-05-18T02:32:00Z</cp:lastPrinted>
  <dcterms:created xsi:type="dcterms:W3CDTF">2025-05-30T07:13:00Z</dcterms:created>
  <dcterms:modified xsi:type="dcterms:W3CDTF">2025-05-30T07:25:00Z</dcterms:modified>
</cp:coreProperties>
</file>